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B68EE" w14:textId="77777777" w:rsidR="00193F4D" w:rsidRDefault="00193F4D">
      <w:pPr>
        <w:jc w:val="center"/>
        <w:rPr>
          <w:rFonts w:ascii="微软雅黑" w:eastAsia="微软雅黑" w:hAnsi="微软雅黑" w:hint="eastAsia"/>
          <w:sz w:val="44"/>
          <w:szCs w:val="44"/>
        </w:rPr>
      </w:pPr>
    </w:p>
    <w:p w14:paraId="40C548EE" w14:textId="77777777" w:rsidR="00193F4D" w:rsidRDefault="00193F4D">
      <w:pPr>
        <w:jc w:val="center"/>
        <w:rPr>
          <w:rFonts w:ascii="微软雅黑" w:eastAsia="微软雅黑" w:hAnsi="微软雅黑" w:hint="eastAsia"/>
          <w:sz w:val="44"/>
          <w:szCs w:val="44"/>
        </w:rPr>
      </w:pPr>
    </w:p>
    <w:p w14:paraId="6B8B9D76" w14:textId="77777777" w:rsidR="00193F4D" w:rsidRDefault="00193F4D">
      <w:pPr>
        <w:jc w:val="center"/>
        <w:rPr>
          <w:rFonts w:ascii="方正小标宋简体" w:eastAsia="方正小标宋简体" w:hAnsi="方正小标宋简体" w:hint="eastAsia"/>
          <w:sz w:val="44"/>
          <w:szCs w:val="44"/>
        </w:rPr>
      </w:pPr>
    </w:p>
    <w:p w14:paraId="6624B140" w14:textId="77777777" w:rsidR="00193F4D" w:rsidRDefault="00000000">
      <w:pPr>
        <w:jc w:val="center"/>
        <w:rPr>
          <w:rFonts w:ascii="方正小标宋简体" w:eastAsia="方正小标宋简体" w:hAnsi="方正小标宋简体" w:hint="eastAsia"/>
          <w:sz w:val="44"/>
          <w:szCs w:val="44"/>
        </w:rPr>
      </w:pPr>
      <w:r>
        <w:rPr>
          <w:rFonts w:ascii="方正小标宋简体" w:eastAsia="方正小标宋简体" w:hAnsi="方正小标宋简体" w:hint="eastAsia"/>
          <w:sz w:val="44"/>
          <w:szCs w:val="44"/>
        </w:rPr>
        <w:t>河北省中冀乡村振兴基金会</w:t>
      </w:r>
    </w:p>
    <w:p w14:paraId="28B0C7FB" w14:textId="77777777" w:rsidR="00193F4D" w:rsidRDefault="00000000">
      <w:pPr>
        <w:jc w:val="center"/>
        <w:rPr>
          <w:rFonts w:ascii="方正小标宋简体" w:eastAsia="方正小标宋简体" w:hAnsi="方正小标宋简体" w:hint="eastAsia"/>
          <w:sz w:val="44"/>
          <w:szCs w:val="44"/>
        </w:rPr>
      </w:pPr>
      <w:r>
        <w:rPr>
          <w:rFonts w:ascii="方正小标宋简体" w:eastAsia="方正小标宋简体" w:hAnsi="方正小标宋简体" w:hint="eastAsia"/>
          <w:sz w:val="44"/>
          <w:szCs w:val="44"/>
        </w:rPr>
        <w:t>捐赠管理制度</w:t>
      </w:r>
    </w:p>
    <w:p w14:paraId="20F4B8F5" w14:textId="77777777" w:rsidR="00193F4D" w:rsidRDefault="00193F4D">
      <w:pPr>
        <w:jc w:val="center"/>
        <w:rPr>
          <w:rFonts w:ascii="微软雅黑" w:eastAsia="微软雅黑" w:hAnsi="微软雅黑" w:hint="eastAsia"/>
          <w:sz w:val="44"/>
          <w:szCs w:val="44"/>
        </w:rPr>
      </w:pPr>
    </w:p>
    <w:p w14:paraId="6768617F" w14:textId="77777777" w:rsidR="00193F4D" w:rsidRDefault="00193F4D">
      <w:pPr>
        <w:jc w:val="center"/>
        <w:rPr>
          <w:rFonts w:ascii="微软雅黑" w:eastAsia="微软雅黑" w:hAnsi="微软雅黑" w:hint="eastAsia"/>
          <w:sz w:val="44"/>
          <w:szCs w:val="44"/>
        </w:rPr>
      </w:pPr>
    </w:p>
    <w:p w14:paraId="2A7144D1" w14:textId="77777777" w:rsidR="00193F4D" w:rsidRDefault="00193F4D">
      <w:pPr>
        <w:jc w:val="center"/>
        <w:rPr>
          <w:rFonts w:ascii="微软雅黑" w:eastAsia="微软雅黑" w:hAnsi="微软雅黑" w:hint="eastAsia"/>
          <w:sz w:val="44"/>
          <w:szCs w:val="44"/>
        </w:rPr>
      </w:pPr>
    </w:p>
    <w:p w14:paraId="5669CD2E" w14:textId="77777777" w:rsidR="00193F4D" w:rsidRDefault="00193F4D">
      <w:pPr>
        <w:jc w:val="center"/>
        <w:rPr>
          <w:rFonts w:ascii="微软雅黑" w:eastAsia="微软雅黑" w:hAnsi="微软雅黑" w:hint="eastAsia"/>
          <w:sz w:val="44"/>
          <w:szCs w:val="44"/>
        </w:rPr>
      </w:pPr>
    </w:p>
    <w:p w14:paraId="33F153F3" w14:textId="77777777" w:rsidR="00193F4D" w:rsidRDefault="00193F4D">
      <w:pPr>
        <w:jc w:val="center"/>
        <w:rPr>
          <w:rFonts w:ascii="微软雅黑" w:eastAsia="微软雅黑" w:hAnsi="微软雅黑" w:hint="eastAsia"/>
          <w:sz w:val="44"/>
          <w:szCs w:val="44"/>
        </w:rPr>
      </w:pPr>
    </w:p>
    <w:p w14:paraId="4C2E5CE1" w14:textId="77777777" w:rsidR="00193F4D" w:rsidRDefault="00193F4D">
      <w:pPr>
        <w:jc w:val="center"/>
        <w:rPr>
          <w:rFonts w:ascii="微软雅黑" w:eastAsia="微软雅黑" w:hAnsi="微软雅黑" w:hint="eastAsia"/>
          <w:sz w:val="44"/>
          <w:szCs w:val="44"/>
        </w:rPr>
      </w:pPr>
    </w:p>
    <w:p w14:paraId="29AE0825" w14:textId="77777777" w:rsidR="00193F4D" w:rsidRDefault="00193F4D">
      <w:pPr>
        <w:jc w:val="center"/>
        <w:rPr>
          <w:rFonts w:ascii="微软雅黑" w:eastAsia="微软雅黑" w:hAnsi="微软雅黑" w:hint="eastAsia"/>
          <w:sz w:val="44"/>
          <w:szCs w:val="44"/>
        </w:rPr>
      </w:pPr>
    </w:p>
    <w:p w14:paraId="147B3635" w14:textId="77777777" w:rsidR="00193F4D" w:rsidRDefault="00193F4D">
      <w:pPr>
        <w:jc w:val="center"/>
        <w:rPr>
          <w:rFonts w:ascii="微软雅黑" w:eastAsia="微软雅黑" w:hAnsi="微软雅黑" w:hint="eastAsia"/>
          <w:sz w:val="44"/>
          <w:szCs w:val="44"/>
        </w:rPr>
      </w:pPr>
    </w:p>
    <w:p w14:paraId="55DB3CA9" w14:textId="591AB42E" w:rsidR="00193F4D" w:rsidRDefault="00193F4D">
      <w:pPr>
        <w:jc w:val="center"/>
        <w:rPr>
          <w:rFonts w:ascii="方正小标宋简体" w:eastAsia="方正小标宋简体" w:hAnsi="方正小标宋简体"/>
          <w:sz w:val="40"/>
          <w:szCs w:val="40"/>
        </w:rPr>
      </w:pPr>
    </w:p>
    <w:p w14:paraId="593D82CE" w14:textId="77777777" w:rsidR="00614D3E" w:rsidRDefault="00614D3E">
      <w:pPr>
        <w:jc w:val="center"/>
        <w:rPr>
          <w:rFonts w:ascii="方正小标宋简体" w:eastAsia="方正小标宋简体" w:hAnsi="方正小标宋简体" w:hint="eastAsia"/>
          <w:sz w:val="40"/>
          <w:szCs w:val="40"/>
        </w:rPr>
      </w:pPr>
    </w:p>
    <w:p w14:paraId="56B2FC14" w14:textId="77777777" w:rsidR="00193F4D" w:rsidRDefault="00193F4D">
      <w:pPr>
        <w:ind w:firstLineChars="200" w:firstLine="640"/>
        <w:rPr>
          <w:rFonts w:ascii="仿宋_GB2312" w:eastAsia="仿宋_GB2312" w:hint="eastAsia"/>
          <w:sz w:val="32"/>
          <w:szCs w:val="32"/>
        </w:rPr>
        <w:sectPr w:rsidR="00193F4D">
          <w:headerReference w:type="default" r:id="rId7"/>
          <w:footerReference w:type="default" r:id="rId8"/>
          <w:headerReference w:type="first" r:id="rId9"/>
          <w:footerReference w:type="first" r:id="rId10"/>
          <w:pgSz w:w="11906" w:h="16838"/>
          <w:pgMar w:top="1440" w:right="1800" w:bottom="1440" w:left="1800" w:header="851" w:footer="992" w:gutter="0"/>
          <w:cols w:space="425"/>
          <w:titlePg/>
          <w:docGrid w:type="lines" w:linePitch="312"/>
        </w:sectPr>
      </w:pPr>
    </w:p>
    <w:p w14:paraId="2B7D7F8E" w14:textId="77777777" w:rsidR="00193F4D" w:rsidRDefault="00000000">
      <w:pPr>
        <w:ind w:firstLineChars="200" w:firstLine="640"/>
        <w:rPr>
          <w:rFonts w:ascii="仿宋_GB2312" w:eastAsia="仿宋_GB2312" w:hint="eastAsia"/>
          <w:sz w:val="32"/>
          <w:szCs w:val="32"/>
        </w:rPr>
      </w:pPr>
      <w:r>
        <w:rPr>
          <w:rFonts w:ascii="仿宋_GB2312" w:eastAsia="仿宋_GB2312" w:hint="eastAsia"/>
          <w:sz w:val="32"/>
          <w:szCs w:val="32"/>
        </w:rPr>
        <w:lastRenderedPageBreak/>
        <w:t>第一条 为规范基金会捐赠财产的管理，明确捐赠和受赠程序，保证捐赠财产发挥最大效益，根据《基金会管理条例》、《中华人民共和国公益事业捐赠法》《中华人民共和国慈善法》《民政部关于印发&lt;关于规范基金会行为的若干规定（试行）&gt;的通知》等法律法规和本基金会章程的规定，结合本基金会实际情况，制定本管理制度。</w:t>
      </w:r>
    </w:p>
    <w:p w14:paraId="089340D5" w14:textId="77777777" w:rsidR="00193F4D" w:rsidRDefault="00000000">
      <w:pPr>
        <w:ind w:firstLineChars="200" w:firstLine="640"/>
        <w:rPr>
          <w:rFonts w:ascii="仿宋_GB2312" w:eastAsia="仿宋_GB2312" w:hint="eastAsia"/>
          <w:sz w:val="32"/>
          <w:szCs w:val="32"/>
        </w:rPr>
      </w:pPr>
      <w:r>
        <w:rPr>
          <w:rFonts w:ascii="仿宋_GB2312" w:eastAsia="仿宋_GB2312" w:hint="eastAsia"/>
          <w:sz w:val="32"/>
          <w:szCs w:val="32"/>
        </w:rPr>
        <w:t>第二条 本制度适用于基金会与其他自然人、法人或其他组织之间的捐赠和受赠行为。</w:t>
      </w:r>
    </w:p>
    <w:p w14:paraId="142AE17B" w14:textId="77777777" w:rsidR="00193F4D" w:rsidRDefault="00000000">
      <w:pPr>
        <w:ind w:firstLineChars="200" w:firstLine="640"/>
        <w:rPr>
          <w:rFonts w:ascii="仿宋_GB2312" w:eastAsia="仿宋_GB2312" w:hint="eastAsia"/>
          <w:sz w:val="32"/>
          <w:szCs w:val="32"/>
        </w:rPr>
      </w:pPr>
      <w:r>
        <w:rPr>
          <w:rFonts w:ascii="仿宋_GB2312" w:eastAsia="仿宋_GB2312" w:hint="eastAsia"/>
          <w:sz w:val="32"/>
          <w:szCs w:val="32"/>
        </w:rPr>
        <w:t>第三条 基金会的捐赠和受赠行为是自愿和无偿的，不得强行摊派或者变相摊派，不得以捐赠为名从事营利活动。</w:t>
      </w:r>
    </w:p>
    <w:p w14:paraId="4C18E4B4" w14:textId="77777777" w:rsidR="00193F4D" w:rsidRDefault="00000000">
      <w:pPr>
        <w:ind w:firstLineChars="200" w:firstLine="640"/>
        <w:rPr>
          <w:rFonts w:ascii="仿宋_GB2312" w:eastAsia="仿宋_GB2312" w:hint="eastAsia"/>
          <w:sz w:val="32"/>
          <w:szCs w:val="32"/>
        </w:rPr>
      </w:pPr>
      <w:r>
        <w:rPr>
          <w:rFonts w:ascii="仿宋_GB2312" w:eastAsia="仿宋_GB2312" w:hint="eastAsia"/>
          <w:sz w:val="32"/>
          <w:szCs w:val="32"/>
        </w:rPr>
        <w:t>第四条 捐赠和受赠行为应当遵守国家相关法律、法规的规定，遵守社会公德，不得损害公共利益和其他公民的合法权益。</w:t>
      </w:r>
    </w:p>
    <w:p w14:paraId="720AAFFE" w14:textId="77777777" w:rsidR="00193F4D" w:rsidRDefault="00000000">
      <w:pPr>
        <w:ind w:firstLineChars="200" w:firstLine="640"/>
        <w:rPr>
          <w:rFonts w:ascii="仿宋_GB2312" w:eastAsia="仿宋_GB2312" w:hint="eastAsia"/>
          <w:sz w:val="32"/>
          <w:szCs w:val="32"/>
        </w:rPr>
      </w:pPr>
      <w:r>
        <w:rPr>
          <w:rFonts w:ascii="仿宋_GB2312" w:eastAsia="仿宋_GB2312" w:hint="eastAsia"/>
          <w:sz w:val="32"/>
          <w:szCs w:val="32"/>
        </w:rPr>
        <w:t>第五条 基金会接受捐赠，应当为捐赠人开具正式的捐赠票据，并将受赠财产登记造册，妥善保管。捐赠票据应当载明捐赠人、捐赠财产的种类及数量、基金会名称和经办人姓名、票据日期等。捐赠人匿名或者放弃接受捐赠票据的，基金会也应当开具捐赠票据，由基金会留存备查。</w:t>
      </w:r>
    </w:p>
    <w:p w14:paraId="1F0EA4FA" w14:textId="77777777" w:rsidR="00193F4D" w:rsidRDefault="00000000">
      <w:pPr>
        <w:ind w:firstLineChars="200" w:firstLine="640"/>
        <w:rPr>
          <w:rFonts w:ascii="仿宋_GB2312" w:eastAsia="仿宋_GB2312" w:hint="eastAsia"/>
          <w:sz w:val="32"/>
          <w:szCs w:val="32"/>
        </w:rPr>
      </w:pPr>
      <w:r>
        <w:rPr>
          <w:rFonts w:ascii="仿宋_GB2312" w:eastAsia="仿宋_GB2312" w:hint="eastAsia"/>
          <w:sz w:val="32"/>
          <w:szCs w:val="32"/>
        </w:rPr>
        <w:t>第六条 基金会接受捐赠应当确保公益性。附加对捐赠人构成利益回报条件的赠与和不符合公益性目的的赠与，不应确认为公益捐赠，不得开具捐赠票据。</w:t>
      </w:r>
    </w:p>
    <w:p w14:paraId="0FDBCE7C" w14:textId="77777777" w:rsidR="00193F4D" w:rsidRDefault="00000000">
      <w:pPr>
        <w:ind w:firstLineChars="200" w:firstLine="640"/>
        <w:rPr>
          <w:rFonts w:ascii="仿宋_GB2312" w:eastAsia="仿宋_GB2312" w:hint="eastAsia"/>
          <w:sz w:val="32"/>
          <w:szCs w:val="32"/>
        </w:rPr>
      </w:pPr>
      <w:r>
        <w:rPr>
          <w:rFonts w:ascii="仿宋_GB2312" w:eastAsia="仿宋_GB2312" w:hint="eastAsia"/>
          <w:sz w:val="32"/>
          <w:szCs w:val="32"/>
        </w:rPr>
        <w:t>第七条 捐赠人可以就捐赠财产的种类、质量、数量、用</w:t>
      </w:r>
      <w:r>
        <w:rPr>
          <w:rFonts w:ascii="仿宋_GB2312" w:eastAsia="仿宋_GB2312" w:hint="eastAsia"/>
          <w:sz w:val="32"/>
          <w:szCs w:val="32"/>
        </w:rPr>
        <w:lastRenderedPageBreak/>
        <w:t>途等内容与本基金会订立捐赠协议，基金会应当严格按照捐赠协议约定的用途使用捐赠财产。</w:t>
      </w:r>
    </w:p>
    <w:p w14:paraId="7E8D1F58" w14:textId="77777777" w:rsidR="00193F4D" w:rsidRDefault="00000000">
      <w:pPr>
        <w:ind w:firstLineChars="200" w:firstLine="640"/>
        <w:rPr>
          <w:rFonts w:ascii="仿宋_GB2312" w:eastAsia="仿宋_GB2312" w:hint="eastAsia"/>
          <w:sz w:val="32"/>
          <w:szCs w:val="32"/>
        </w:rPr>
      </w:pPr>
      <w:r>
        <w:rPr>
          <w:rFonts w:ascii="仿宋_GB2312" w:eastAsia="仿宋_GB2312" w:hint="eastAsia"/>
          <w:sz w:val="32"/>
          <w:szCs w:val="32"/>
        </w:rPr>
        <w:t>第八条 捐赠人违反捐赠协议逾期未交付捐赠财产，有下列情形之一的，基金会可以要求交付；捐赠人拒不交付的，基金会可以依法向人民法院申请支付令或者提起诉讼：</w:t>
      </w:r>
    </w:p>
    <w:p w14:paraId="06F86AEF" w14:textId="77777777" w:rsidR="00193F4D" w:rsidRDefault="00000000">
      <w:pPr>
        <w:ind w:firstLineChars="200" w:firstLine="640"/>
        <w:rPr>
          <w:rFonts w:ascii="仿宋_GB2312" w:eastAsia="仿宋_GB2312" w:hint="eastAsia"/>
          <w:sz w:val="32"/>
          <w:szCs w:val="32"/>
        </w:rPr>
      </w:pPr>
      <w:r>
        <w:rPr>
          <w:rFonts w:ascii="仿宋_GB2312" w:eastAsia="仿宋_GB2312" w:hint="eastAsia"/>
          <w:sz w:val="32"/>
          <w:szCs w:val="32"/>
        </w:rPr>
        <w:t>1.捐赠人通过广播、电视、报刊、互联网等媒体公开承诺捐赠的；</w:t>
      </w:r>
    </w:p>
    <w:p w14:paraId="032AFEF6" w14:textId="77777777" w:rsidR="00193F4D" w:rsidRDefault="00000000">
      <w:pPr>
        <w:ind w:firstLineChars="200" w:firstLine="640"/>
        <w:rPr>
          <w:rFonts w:ascii="仿宋_GB2312" w:eastAsia="仿宋_GB2312" w:hint="eastAsia"/>
          <w:sz w:val="32"/>
          <w:szCs w:val="32"/>
        </w:rPr>
      </w:pPr>
      <w:r>
        <w:rPr>
          <w:rFonts w:ascii="仿宋_GB2312" w:eastAsia="仿宋_GB2312" w:hint="eastAsia"/>
          <w:sz w:val="32"/>
          <w:szCs w:val="32"/>
        </w:rPr>
        <w:t>2.捐赠财产用于扶贫、济困、扶老、救孤、恤病、助残、优抚、救助自然灾害、事故灾难和公共卫生事件等突发事件造成的损害，并签订书面捐赠协议的。</w:t>
      </w:r>
    </w:p>
    <w:p w14:paraId="2383D652" w14:textId="77777777" w:rsidR="00193F4D" w:rsidRDefault="00000000">
      <w:pPr>
        <w:ind w:firstLineChars="200" w:firstLine="640"/>
        <w:rPr>
          <w:rFonts w:ascii="仿宋_GB2312" w:eastAsia="仿宋_GB2312" w:hint="eastAsia"/>
          <w:sz w:val="32"/>
          <w:szCs w:val="32"/>
        </w:rPr>
      </w:pPr>
      <w:r>
        <w:rPr>
          <w:rFonts w:ascii="仿宋_GB2312" w:eastAsia="仿宋_GB2312" w:hint="eastAsia"/>
          <w:sz w:val="32"/>
          <w:szCs w:val="32"/>
        </w:rPr>
        <w:t>第九条 捐赠财产应当是捐赠人有权处理的合法财产。捐赠实物的，捐赠人应当提交物品的发票、质量合格证明、有效期证明等资料；捐赠药品、医疗器械、化学制品以及进口商品等特殊物品的，捐赠人应当提交国家相关部门的检疫合格证明。</w:t>
      </w:r>
    </w:p>
    <w:p w14:paraId="13C1CF0D" w14:textId="77777777" w:rsidR="00193F4D" w:rsidRDefault="00000000">
      <w:pPr>
        <w:ind w:firstLineChars="200" w:firstLine="640"/>
        <w:rPr>
          <w:rFonts w:ascii="仿宋_GB2312" w:eastAsia="仿宋_GB2312" w:hint="eastAsia"/>
          <w:sz w:val="32"/>
          <w:szCs w:val="32"/>
        </w:rPr>
      </w:pPr>
      <w:r>
        <w:rPr>
          <w:rFonts w:ascii="仿宋_GB2312" w:eastAsia="仿宋_GB2312" w:hint="eastAsia"/>
          <w:sz w:val="32"/>
          <w:szCs w:val="32"/>
        </w:rPr>
        <w:t>第十条 接受实物捐赠的，基金会应当确保物品在到达最终受益人时仍处于保质期内且具有使用价值。</w:t>
      </w:r>
    </w:p>
    <w:p w14:paraId="0D30E63D" w14:textId="77777777" w:rsidR="00193F4D" w:rsidRDefault="00000000">
      <w:pPr>
        <w:ind w:firstLineChars="200" w:firstLine="640"/>
        <w:rPr>
          <w:rFonts w:ascii="仿宋_GB2312" w:eastAsia="仿宋_GB2312" w:hint="eastAsia"/>
          <w:sz w:val="32"/>
          <w:szCs w:val="32"/>
        </w:rPr>
      </w:pPr>
      <w:r>
        <w:rPr>
          <w:rFonts w:ascii="仿宋_GB2312" w:eastAsia="仿宋_GB2312" w:hint="eastAsia"/>
          <w:sz w:val="32"/>
          <w:szCs w:val="32"/>
        </w:rPr>
        <w:t>第十一条 基金会受赠的财产应当用于基金会章程规定的宗旨和范围，对于不易储存、运输和超过实际需要的受赠财产，基金会可以变卖，所取得的全部收入，应当用于捐赠目的。</w:t>
      </w:r>
    </w:p>
    <w:p w14:paraId="27FD74B3" w14:textId="77777777" w:rsidR="00193F4D" w:rsidRDefault="00000000">
      <w:pPr>
        <w:ind w:firstLineChars="200" w:firstLine="640"/>
        <w:rPr>
          <w:rFonts w:ascii="仿宋_GB2312" w:eastAsia="仿宋_GB2312" w:hint="eastAsia"/>
          <w:sz w:val="32"/>
          <w:szCs w:val="32"/>
        </w:rPr>
      </w:pPr>
      <w:r>
        <w:rPr>
          <w:rFonts w:ascii="仿宋_GB2312" w:eastAsia="仿宋_GB2312" w:hint="eastAsia"/>
          <w:sz w:val="32"/>
          <w:szCs w:val="32"/>
        </w:rPr>
        <w:t>第十二条 基金会应当严格按照捐赠协议约定的用途使</w:t>
      </w:r>
      <w:r>
        <w:rPr>
          <w:rFonts w:ascii="仿宋_GB2312" w:eastAsia="仿宋_GB2312" w:hint="eastAsia"/>
          <w:sz w:val="32"/>
          <w:szCs w:val="32"/>
        </w:rPr>
        <w:lastRenderedPageBreak/>
        <w:t>用受赠财产，不得擅自挪作他用。如确需改变用途的，应当事先征得捐赠人的同意，并召开理事会形成决议。如确实无法征求捐赠人意见的，应当按照基金会的宗旨用于与原公益目的相近似的目的。</w:t>
      </w:r>
    </w:p>
    <w:p w14:paraId="4172B5E4" w14:textId="77777777" w:rsidR="00193F4D" w:rsidRDefault="00000000">
      <w:pPr>
        <w:ind w:firstLineChars="200" w:firstLine="640"/>
        <w:rPr>
          <w:rFonts w:ascii="仿宋_GB2312" w:eastAsia="仿宋_GB2312" w:hint="eastAsia"/>
          <w:sz w:val="32"/>
          <w:szCs w:val="32"/>
        </w:rPr>
      </w:pPr>
      <w:r>
        <w:rPr>
          <w:rFonts w:ascii="仿宋_GB2312" w:eastAsia="仿宋_GB2312" w:hint="eastAsia"/>
          <w:sz w:val="32"/>
          <w:szCs w:val="32"/>
        </w:rPr>
        <w:t>第十三条 捐赠人向基金会查询捐赠财产的使用、情况的，基金会应当如实回答。</w:t>
      </w:r>
    </w:p>
    <w:p w14:paraId="68B8D4E0" w14:textId="77777777" w:rsidR="00193F4D" w:rsidRDefault="00000000">
      <w:pPr>
        <w:ind w:firstLineChars="200" w:firstLine="640"/>
        <w:rPr>
          <w:rFonts w:ascii="仿宋_GB2312" w:eastAsia="仿宋_GB2312" w:hint="eastAsia"/>
          <w:sz w:val="32"/>
          <w:szCs w:val="32"/>
        </w:rPr>
      </w:pPr>
      <w:r>
        <w:rPr>
          <w:rFonts w:ascii="仿宋_GB2312" w:eastAsia="仿宋_GB2312" w:hint="eastAsia"/>
          <w:sz w:val="32"/>
          <w:szCs w:val="32"/>
        </w:rPr>
        <w:t>第十四条 基金会应当向社会公开接受捐赠的情况和受赠财产的使用、管理情况，接受社会监督。</w:t>
      </w:r>
    </w:p>
    <w:p w14:paraId="15CB888B" w14:textId="77777777" w:rsidR="00193F4D" w:rsidRDefault="00000000">
      <w:pPr>
        <w:ind w:firstLineChars="200" w:firstLine="640"/>
        <w:rPr>
          <w:rFonts w:ascii="仿宋_GB2312" w:eastAsia="仿宋_GB2312" w:hint="eastAsia"/>
          <w:sz w:val="32"/>
          <w:szCs w:val="32"/>
        </w:rPr>
      </w:pPr>
      <w:r>
        <w:rPr>
          <w:rFonts w:ascii="仿宋_GB2312" w:eastAsia="仿宋_GB2312" w:hint="eastAsia"/>
          <w:sz w:val="32"/>
          <w:szCs w:val="32"/>
        </w:rPr>
        <w:t xml:space="preserve">第十五条 基金会接受非现金捐赠，应当按照以下方法确定入账价值： </w:t>
      </w:r>
    </w:p>
    <w:p w14:paraId="3C41F6F1" w14:textId="77777777" w:rsidR="00193F4D" w:rsidRDefault="00000000">
      <w:pPr>
        <w:ind w:firstLineChars="200" w:firstLine="640"/>
        <w:rPr>
          <w:rFonts w:ascii="仿宋_GB2312" w:eastAsia="仿宋_GB2312" w:hint="eastAsia"/>
          <w:sz w:val="32"/>
          <w:szCs w:val="32"/>
        </w:rPr>
      </w:pPr>
      <w:r>
        <w:rPr>
          <w:rFonts w:ascii="仿宋_GB2312" w:eastAsia="仿宋_GB2312" w:hint="eastAsia"/>
          <w:sz w:val="32"/>
          <w:szCs w:val="32"/>
        </w:rPr>
        <w:t>1.捐赠人提供了发票、报关单等凭据的，应当以相关凭据作为确认入账价值的依据；捐赠人不能提供凭据的，应当以其他确认捐赠财产的证明，作为确认入账价值的依据；</w:t>
      </w:r>
    </w:p>
    <w:p w14:paraId="49AB491A" w14:textId="77777777" w:rsidR="00193F4D" w:rsidRDefault="00000000">
      <w:pPr>
        <w:ind w:firstLineChars="200" w:firstLine="640"/>
        <w:rPr>
          <w:rFonts w:ascii="仿宋_GB2312" w:eastAsia="仿宋_GB2312" w:hint="eastAsia"/>
          <w:sz w:val="32"/>
          <w:szCs w:val="32"/>
        </w:rPr>
      </w:pPr>
      <w:r>
        <w:rPr>
          <w:rFonts w:ascii="仿宋_GB2312" w:eastAsia="仿宋_GB2312" w:hint="eastAsia"/>
          <w:sz w:val="32"/>
          <w:szCs w:val="32"/>
        </w:rPr>
        <w:t>2.捐赠人提供的凭据或其他能够确认受赠资产价值的证明上标明的金额与受赠资产公允价值相差较大的，应当以其公允价值作为入账价值。捐赠人捐赠固定资产、股权、无形资产、文物文化资产，应当以具有合法资质的第三方机构的评估作为确认入账价值的依据。无法评估或经评估无法确认价格的，基金会不得计入捐赠收入，不得开具捐赠票据，应当另外造册登记。</w:t>
      </w:r>
    </w:p>
    <w:p w14:paraId="4B204436" w14:textId="77777777" w:rsidR="00193F4D" w:rsidRDefault="00000000">
      <w:pPr>
        <w:ind w:firstLineChars="200" w:firstLine="640"/>
        <w:rPr>
          <w:rFonts w:ascii="仿宋_GB2312" w:eastAsia="仿宋_GB2312" w:hint="eastAsia"/>
          <w:sz w:val="32"/>
          <w:szCs w:val="32"/>
        </w:rPr>
      </w:pPr>
      <w:r>
        <w:rPr>
          <w:rFonts w:ascii="仿宋_GB2312" w:eastAsia="仿宋_GB2312" w:hint="eastAsia"/>
          <w:sz w:val="32"/>
          <w:szCs w:val="32"/>
        </w:rPr>
        <w:t>第十六条 基金会应当遵循公开、公正、公平和诚实信用的原则选定公益项目和受益人，不得资助以营利为目的开展</w:t>
      </w:r>
      <w:r>
        <w:rPr>
          <w:rFonts w:ascii="仿宋_GB2312" w:eastAsia="仿宋_GB2312" w:hint="eastAsia"/>
          <w:sz w:val="32"/>
          <w:szCs w:val="32"/>
        </w:rPr>
        <w:lastRenderedPageBreak/>
        <w:t>的活动。</w:t>
      </w:r>
    </w:p>
    <w:p w14:paraId="2FE59652" w14:textId="77777777" w:rsidR="00193F4D" w:rsidRDefault="00000000">
      <w:pPr>
        <w:ind w:firstLineChars="200" w:firstLine="640"/>
        <w:rPr>
          <w:rFonts w:ascii="仿宋_GB2312" w:eastAsia="仿宋_GB2312" w:hint="eastAsia"/>
          <w:sz w:val="32"/>
          <w:szCs w:val="32"/>
        </w:rPr>
      </w:pPr>
      <w:r>
        <w:rPr>
          <w:rFonts w:ascii="仿宋_GB2312" w:eastAsia="仿宋_GB2312" w:hint="eastAsia"/>
          <w:sz w:val="32"/>
          <w:szCs w:val="32"/>
        </w:rPr>
        <w:t>第十七条 本制度的解释权归河北省中冀乡村振兴基金会。</w:t>
      </w:r>
    </w:p>
    <w:sectPr w:rsidR="00193F4D">
      <w:footerReference w:type="default" r:id="rId11"/>
      <w:footerReference w:type="first" r:id="rId12"/>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FD8E8" w14:textId="77777777" w:rsidR="000B5A69" w:rsidRDefault="000B5A69">
      <w:pPr>
        <w:rPr>
          <w:rFonts w:hint="eastAsia"/>
        </w:rPr>
      </w:pPr>
      <w:r>
        <w:separator/>
      </w:r>
    </w:p>
  </w:endnote>
  <w:endnote w:type="continuationSeparator" w:id="0">
    <w:p w14:paraId="7029CEF2" w14:textId="77777777" w:rsidR="000B5A69" w:rsidRDefault="000B5A6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9BE58" w14:textId="77777777" w:rsidR="00193F4D" w:rsidRDefault="00193F4D">
    <w:pPr>
      <w:pStyle w:val="a3"/>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899CA" w14:textId="77777777" w:rsidR="00193F4D" w:rsidRDefault="00193F4D">
    <w:pPr>
      <w:pStyle w:val="a3"/>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FB5A" w14:textId="77777777" w:rsidR="00193F4D" w:rsidRDefault="00000000">
    <w:pPr>
      <w:pStyle w:val="a3"/>
      <w:rPr>
        <w:rFonts w:hint="eastAsia"/>
      </w:rPr>
    </w:pPr>
    <w:r>
      <w:rPr>
        <w:noProof/>
      </w:rPr>
      <mc:AlternateContent>
        <mc:Choice Requires="wps">
          <w:drawing>
            <wp:anchor distT="0" distB="0" distL="114300" distR="114300" simplePos="0" relativeHeight="251659264" behindDoc="0" locked="0" layoutInCell="1" allowOverlap="1" wp14:anchorId="5784D3D7" wp14:editId="1DBFD040">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660CE4" w14:textId="77777777" w:rsidR="00193F4D" w:rsidRDefault="00000000">
                          <w:pPr>
                            <w:pStyle w:val="a3"/>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  \* MERGEFORMAT </w:instrText>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fldChar w:fldCharType="end"/>
                          </w:r>
                          <w:r>
                            <w:rPr>
                              <w:rFonts w:ascii="仿宋_GB2312" w:eastAsia="仿宋_GB2312" w:hAnsi="仿宋_GB2312" w:cs="仿宋_GB2312" w:hint="eastAsia"/>
                              <w:sz w:val="32"/>
                              <w:szCs w:val="32"/>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784D3D7" id="_x0000_t202" coordsize="21600,21600" o:spt="202" path="m,l,21600r21600,l21600,xe">
              <v:stroke joinstyle="miter"/>
              <v:path gradientshapeok="t" o:connecttype="rect"/>
            </v:shapetype>
            <v:shape id="文本框 3"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4E660CE4" w14:textId="77777777" w:rsidR="00193F4D" w:rsidRDefault="00000000">
                    <w:pPr>
                      <w:pStyle w:val="a3"/>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  \* MERGEFORMAT </w:instrText>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fldChar w:fldCharType="end"/>
                    </w:r>
                    <w:r>
                      <w:rPr>
                        <w:rFonts w:ascii="仿宋_GB2312" w:eastAsia="仿宋_GB2312" w:hAnsi="仿宋_GB2312" w:cs="仿宋_GB2312" w:hint="eastAsia"/>
                        <w:sz w:val="32"/>
                        <w:szCs w:val="32"/>
                      </w:rPr>
                      <w:t xml:space="preserve"> —</w:t>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96C41" w14:textId="77777777" w:rsidR="00193F4D" w:rsidRDefault="00000000">
    <w:pPr>
      <w:pStyle w:val="a3"/>
      <w:rPr>
        <w:rFonts w:hint="eastAsia"/>
      </w:rPr>
    </w:pPr>
    <w:r>
      <w:rPr>
        <w:noProof/>
      </w:rPr>
      <mc:AlternateContent>
        <mc:Choice Requires="wps">
          <w:drawing>
            <wp:anchor distT="0" distB="0" distL="114300" distR="114300" simplePos="0" relativeHeight="251660288" behindDoc="0" locked="0" layoutInCell="1" allowOverlap="1" wp14:anchorId="62A4E55D" wp14:editId="6B0010E0">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945762" w14:textId="77777777" w:rsidR="00193F4D" w:rsidRDefault="00000000">
                          <w:pPr>
                            <w:pStyle w:val="a3"/>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  \* MERGEFORMAT </w:instrText>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fldChar w:fldCharType="end"/>
                          </w:r>
                          <w:r>
                            <w:rPr>
                              <w:rFonts w:ascii="仿宋_GB2312" w:eastAsia="仿宋_GB2312" w:hAnsi="仿宋_GB2312" w:cs="仿宋_GB2312" w:hint="eastAsia"/>
                              <w:sz w:val="32"/>
                              <w:szCs w:val="32"/>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2A4E55D" id="_x0000_t202" coordsize="21600,21600" o:spt="202" path="m,l,21600r21600,l21600,xe">
              <v:stroke joinstyle="miter"/>
              <v:path gradientshapeok="t" o:connecttype="rect"/>
            </v:shapetype>
            <v:shape id="文本框 4" o:spid="_x0000_s1027"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7C945762" w14:textId="77777777" w:rsidR="00193F4D" w:rsidRDefault="00000000">
                    <w:pPr>
                      <w:pStyle w:val="a3"/>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  \* MERGEFORMAT </w:instrText>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fldChar w:fldCharType="end"/>
                    </w:r>
                    <w:r>
                      <w:rPr>
                        <w:rFonts w:ascii="仿宋_GB2312" w:eastAsia="仿宋_GB2312" w:hAnsi="仿宋_GB2312" w:cs="仿宋_GB2312" w:hint="eastAsia"/>
                        <w:sz w:val="32"/>
                        <w:szCs w:val="32"/>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B664B" w14:textId="77777777" w:rsidR="000B5A69" w:rsidRDefault="000B5A69">
      <w:pPr>
        <w:rPr>
          <w:rFonts w:hint="eastAsia"/>
        </w:rPr>
      </w:pPr>
      <w:r>
        <w:separator/>
      </w:r>
    </w:p>
  </w:footnote>
  <w:footnote w:type="continuationSeparator" w:id="0">
    <w:p w14:paraId="660541FD" w14:textId="77777777" w:rsidR="000B5A69" w:rsidRDefault="000B5A69">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EB6CA" w14:textId="77777777" w:rsidR="00193F4D" w:rsidRDefault="00000000">
    <w:pPr>
      <w:pStyle w:val="a5"/>
      <w:jc w:val="right"/>
      <w:rPr>
        <w:rFonts w:hint="eastAsia"/>
      </w:rPr>
    </w:pPr>
    <w:r>
      <w:rPr>
        <w:rFonts w:hint="eastAsia"/>
      </w:rPr>
      <w:t>河北省中冀乡村振兴基金会</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87E95" w14:textId="77777777" w:rsidR="00193F4D" w:rsidRDefault="00000000">
    <w:pPr>
      <w:pStyle w:val="a5"/>
      <w:jc w:val="right"/>
      <w:rPr>
        <w:rFonts w:hint="eastAsia"/>
      </w:rPr>
    </w:pPr>
    <w:r>
      <w:rPr>
        <w:rFonts w:hint="eastAsia"/>
      </w:rPr>
      <w:t>河北省中冀乡村振兴基金会</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mI0YmUxZGQ5OTk2NWEyYTk4MmEzMDhlMDI4YTE4NzMifQ=="/>
  </w:docVars>
  <w:rsids>
    <w:rsidRoot w:val="005A2750"/>
    <w:rsid w:val="00011D64"/>
    <w:rsid w:val="00052CA7"/>
    <w:rsid w:val="0006736D"/>
    <w:rsid w:val="00067C12"/>
    <w:rsid w:val="00080734"/>
    <w:rsid w:val="000A0579"/>
    <w:rsid w:val="000B5A69"/>
    <w:rsid w:val="000E0506"/>
    <w:rsid w:val="00143D8E"/>
    <w:rsid w:val="0014447C"/>
    <w:rsid w:val="00193F4D"/>
    <w:rsid w:val="001D7AE6"/>
    <w:rsid w:val="001E26CB"/>
    <w:rsid w:val="001E6BC2"/>
    <w:rsid w:val="00201120"/>
    <w:rsid w:val="002478B7"/>
    <w:rsid w:val="002663AF"/>
    <w:rsid w:val="00324B52"/>
    <w:rsid w:val="00342A76"/>
    <w:rsid w:val="004B2182"/>
    <w:rsid w:val="004C36C4"/>
    <w:rsid w:val="004D06BF"/>
    <w:rsid w:val="004D7DCA"/>
    <w:rsid w:val="004F7BFD"/>
    <w:rsid w:val="00514AC3"/>
    <w:rsid w:val="005A2750"/>
    <w:rsid w:val="00613D82"/>
    <w:rsid w:val="00614D3E"/>
    <w:rsid w:val="0064508D"/>
    <w:rsid w:val="00695337"/>
    <w:rsid w:val="006D0FDE"/>
    <w:rsid w:val="006E19D9"/>
    <w:rsid w:val="007064DD"/>
    <w:rsid w:val="00780C69"/>
    <w:rsid w:val="00785378"/>
    <w:rsid w:val="007F4068"/>
    <w:rsid w:val="008B662C"/>
    <w:rsid w:val="00943E70"/>
    <w:rsid w:val="00956F1F"/>
    <w:rsid w:val="009648D7"/>
    <w:rsid w:val="00973CBF"/>
    <w:rsid w:val="009833AF"/>
    <w:rsid w:val="00992EF1"/>
    <w:rsid w:val="009E1F15"/>
    <w:rsid w:val="009F77BC"/>
    <w:rsid w:val="00A563A0"/>
    <w:rsid w:val="00A8566F"/>
    <w:rsid w:val="00A95FB6"/>
    <w:rsid w:val="00AB2F0B"/>
    <w:rsid w:val="00B0413A"/>
    <w:rsid w:val="00B24BD5"/>
    <w:rsid w:val="00B92520"/>
    <w:rsid w:val="00BF5F29"/>
    <w:rsid w:val="00C0075F"/>
    <w:rsid w:val="00C45625"/>
    <w:rsid w:val="00C774F8"/>
    <w:rsid w:val="00CE5F06"/>
    <w:rsid w:val="00CE73F6"/>
    <w:rsid w:val="00CF5873"/>
    <w:rsid w:val="00CF5FFA"/>
    <w:rsid w:val="00D251C5"/>
    <w:rsid w:val="00D331D7"/>
    <w:rsid w:val="00D46816"/>
    <w:rsid w:val="00D67117"/>
    <w:rsid w:val="00DB5984"/>
    <w:rsid w:val="00E10ECB"/>
    <w:rsid w:val="00E50AC6"/>
    <w:rsid w:val="00E54B94"/>
    <w:rsid w:val="00EA0F43"/>
    <w:rsid w:val="00EA5DDD"/>
    <w:rsid w:val="00EB2353"/>
    <w:rsid w:val="00F22BA4"/>
    <w:rsid w:val="00FC3D37"/>
    <w:rsid w:val="0C747D97"/>
    <w:rsid w:val="121D5255"/>
    <w:rsid w:val="234F7918"/>
    <w:rsid w:val="23C7717F"/>
    <w:rsid w:val="3333780E"/>
    <w:rsid w:val="69776003"/>
    <w:rsid w:val="770532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DD4F7"/>
  <w15:docId w15:val="{3B4F75FB-E864-41F4-B5C1-0745FCAE7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231</Words>
  <Characters>1319</Characters>
  <Application>Microsoft Office Word</Application>
  <DocSecurity>0</DocSecurity>
  <Lines>10</Lines>
  <Paragraphs>3</Paragraphs>
  <ScaleCrop>false</ScaleCrop>
  <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409570047@qq.com</dc:creator>
  <cp:lastModifiedBy>建伟 齐</cp:lastModifiedBy>
  <cp:revision>7</cp:revision>
  <dcterms:created xsi:type="dcterms:W3CDTF">2021-03-13T01:27:00Z</dcterms:created>
  <dcterms:modified xsi:type="dcterms:W3CDTF">2026-07-03T02:10:00Z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316FBFA8068F45F0B55951FD9C504254</vt:lpwstr>
  </property>
  <property fmtid="{D5CDD505-2E9C-101B-9397-08002B2CF9AE}" pid="4" name="KSOTemplateDocerSaveRecord">
    <vt:lpwstr>eyJoZGlkIjoiYTE5NDY0OWI2M2RkMDJkNjhkYjc1NGU0MjkwYTk1NzYiLCJ1c2VySWQiOiI0ODc5NTQ4OTEifQ==</vt:lpwstr>
  </property>
</Properties>
</file>