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1C09" w14:textId="77777777" w:rsidR="008349D9" w:rsidRDefault="008349D9">
      <w:pPr>
        <w:spacing w:line="560" w:lineRule="exact"/>
        <w:ind w:firstLineChars="200" w:firstLine="643"/>
        <w:jc w:val="center"/>
        <w:rPr>
          <w:rFonts w:ascii="仿宋_GB2312" w:eastAsia="仿宋_GB2312" w:hAnsi="方正小标宋简体" w:hint="eastAsia"/>
          <w:b/>
          <w:sz w:val="32"/>
          <w:szCs w:val="32"/>
        </w:rPr>
      </w:pPr>
    </w:p>
    <w:p w14:paraId="09283EE5" w14:textId="77777777" w:rsidR="008349D9" w:rsidRDefault="00000000">
      <w:pPr>
        <w:spacing w:line="560" w:lineRule="exact"/>
        <w:jc w:val="center"/>
        <w:rPr>
          <w:rFonts w:ascii="方正小标宋简体" w:eastAsia="方正小标宋简体" w:hAnsi="方正小标宋简体" w:hint="eastAsia"/>
          <w:bCs/>
          <w:sz w:val="44"/>
          <w:szCs w:val="44"/>
        </w:rPr>
      </w:pPr>
      <w:r>
        <w:rPr>
          <w:rFonts w:ascii="方正小标宋简体" w:eastAsia="方正小标宋简体" w:hAnsi="方正小标宋简体" w:hint="eastAsia"/>
          <w:bCs/>
          <w:sz w:val="44"/>
          <w:szCs w:val="44"/>
        </w:rPr>
        <w:t>河北省中冀乡村振兴基金会</w:t>
      </w:r>
    </w:p>
    <w:p w14:paraId="68017E74" w14:textId="77777777" w:rsidR="008349D9" w:rsidRDefault="00000000">
      <w:pPr>
        <w:spacing w:line="560" w:lineRule="exact"/>
        <w:jc w:val="center"/>
        <w:rPr>
          <w:rFonts w:ascii="方正小标宋简体" w:eastAsia="方正小标宋简体" w:hAnsi="方正小标宋简体" w:hint="eastAsia"/>
          <w:b/>
          <w:sz w:val="44"/>
          <w:szCs w:val="44"/>
        </w:rPr>
      </w:pPr>
      <w:r>
        <w:rPr>
          <w:rFonts w:ascii="方正小标宋简体" w:eastAsia="方正小标宋简体" w:hAnsi="方正小标宋简体" w:hint="eastAsia"/>
          <w:bCs/>
          <w:sz w:val="44"/>
          <w:szCs w:val="44"/>
        </w:rPr>
        <w:t>财务管理制度细则</w:t>
      </w:r>
    </w:p>
    <w:p w14:paraId="1C5D08E0" w14:textId="77777777" w:rsidR="008349D9" w:rsidRDefault="008349D9">
      <w:pPr>
        <w:spacing w:line="560" w:lineRule="exact"/>
        <w:ind w:firstLineChars="200" w:firstLine="643"/>
        <w:jc w:val="center"/>
        <w:rPr>
          <w:rFonts w:ascii="仿宋_GB2312" w:eastAsia="仿宋_GB2312" w:hAnsi="方正小标宋简体" w:hint="eastAsia"/>
          <w:b/>
          <w:sz w:val="32"/>
          <w:szCs w:val="32"/>
        </w:rPr>
      </w:pPr>
    </w:p>
    <w:sdt>
      <w:sdtPr>
        <w:rPr>
          <w:rFonts w:ascii="仿宋_GB2312" w:eastAsia="仿宋_GB2312" w:hAnsiTheme="minorHAnsi" w:cstheme="minorBidi" w:hint="eastAsia"/>
          <w:color w:val="auto"/>
          <w:kern w:val="2"/>
          <w:sz w:val="21"/>
          <w:szCs w:val="22"/>
          <w:lang w:val="zh-CN"/>
        </w:rPr>
        <w:id w:val="190122569"/>
        <w:docPartObj>
          <w:docPartGallery w:val="Table of Contents"/>
          <w:docPartUnique/>
        </w:docPartObj>
      </w:sdtPr>
      <w:sdtEndPr>
        <w:rPr>
          <w:b/>
          <w:bCs/>
        </w:rPr>
      </w:sdtEndPr>
      <w:sdtContent>
        <w:p w14:paraId="382A3FF5" w14:textId="77777777" w:rsidR="008349D9" w:rsidRDefault="00000000">
          <w:pPr>
            <w:pStyle w:val="TOC10"/>
            <w:spacing w:line="560" w:lineRule="exact"/>
            <w:ind w:firstLine="200"/>
            <w:jc w:val="center"/>
            <w:rPr>
              <w:rFonts w:ascii="黑体" w:eastAsia="黑体" w:hAnsi="黑体" w:hint="eastAsia"/>
              <w:color w:val="auto"/>
            </w:rPr>
          </w:pPr>
          <w:r>
            <w:rPr>
              <w:rFonts w:ascii="黑体" w:eastAsia="黑体" w:hAnsi="黑体" w:hint="eastAsia"/>
              <w:b/>
              <w:bCs/>
              <w:color w:val="auto"/>
              <w:lang w:val="zh-CN"/>
            </w:rPr>
            <w:t>目录</w:t>
          </w:r>
        </w:p>
        <w:p w14:paraId="47E477E4" w14:textId="02F335C9" w:rsidR="008349D9" w:rsidRDefault="00000000">
          <w:pPr>
            <w:pStyle w:val="TOC1"/>
            <w:tabs>
              <w:tab w:val="right" w:leader="dot" w:pos="8296"/>
            </w:tabs>
            <w:spacing w:line="560" w:lineRule="exact"/>
            <w:ind w:firstLine="200"/>
            <w:rPr>
              <w:rFonts w:ascii="仿宋_GB2312" w:eastAsia="仿宋_GB2312"/>
              <w:noProof/>
              <w:sz w:val="32"/>
              <w:szCs w:val="32"/>
            </w:rPr>
          </w:pPr>
          <w:r>
            <w:rPr>
              <w:rFonts w:ascii="仿宋_GB2312" w:eastAsia="仿宋_GB2312" w:hint="eastAsia"/>
              <w:sz w:val="32"/>
              <w:szCs w:val="32"/>
            </w:rPr>
            <w:fldChar w:fldCharType="begin"/>
          </w:r>
          <w:r>
            <w:rPr>
              <w:rFonts w:ascii="仿宋_GB2312" w:eastAsia="仿宋_GB2312" w:hint="eastAsia"/>
              <w:sz w:val="32"/>
              <w:szCs w:val="32"/>
            </w:rPr>
            <w:instrText xml:space="preserve"> TOC \o "1-3" \h \z \u </w:instrText>
          </w:r>
          <w:r>
            <w:rPr>
              <w:rFonts w:ascii="仿宋_GB2312" w:eastAsia="仿宋_GB2312" w:hint="eastAsia"/>
              <w:sz w:val="32"/>
              <w:szCs w:val="32"/>
            </w:rPr>
            <w:fldChar w:fldCharType="separate"/>
          </w:r>
          <w:hyperlink w:anchor="_Toc66524512" w:history="1">
            <w:r w:rsidR="008349D9">
              <w:rPr>
                <w:rStyle w:val="a7"/>
                <w:rFonts w:ascii="仿宋_GB2312" w:eastAsia="仿宋_GB2312" w:hAnsi="仿宋" w:hint="eastAsia"/>
                <w:noProof/>
                <w:color w:val="auto"/>
                <w:sz w:val="32"/>
                <w:szCs w:val="32"/>
              </w:rPr>
              <w:t>第一章 总则</w:t>
            </w:r>
            <w:r w:rsidR="008349D9">
              <w:rPr>
                <w:rFonts w:ascii="仿宋_GB2312" w:eastAsia="仿宋_GB2312" w:hint="eastAsia"/>
                <w:noProof/>
                <w:sz w:val="32"/>
                <w:szCs w:val="32"/>
              </w:rPr>
              <w:tab/>
            </w:r>
            <w:r w:rsidR="008349D9">
              <w:rPr>
                <w:rFonts w:ascii="仿宋_GB2312" w:eastAsia="仿宋_GB2312" w:hint="eastAsia"/>
                <w:noProof/>
                <w:sz w:val="32"/>
                <w:szCs w:val="32"/>
              </w:rPr>
              <w:fldChar w:fldCharType="begin"/>
            </w:r>
            <w:r w:rsidR="008349D9">
              <w:rPr>
                <w:rFonts w:ascii="仿宋_GB2312" w:eastAsia="仿宋_GB2312" w:hint="eastAsia"/>
                <w:noProof/>
                <w:sz w:val="32"/>
                <w:szCs w:val="32"/>
              </w:rPr>
              <w:instrText xml:space="preserve"> PAGEREF _Toc66524512 \h </w:instrText>
            </w:r>
            <w:r w:rsidR="008349D9">
              <w:rPr>
                <w:rFonts w:ascii="仿宋_GB2312" w:eastAsia="仿宋_GB2312" w:hint="eastAsia"/>
                <w:noProof/>
                <w:sz w:val="32"/>
                <w:szCs w:val="32"/>
              </w:rPr>
            </w:r>
            <w:r w:rsidR="008349D9">
              <w:rPr>
                <w:rFonts w:ascii="仿宋_GB2312" w:eastAsia="仿宋_GB2312" w:hint="eastAsia"/>
                <w:noProof/>
                <w:sz w:val="32"/>
                <w:szCs w:val="32"/>
              </w:rPr>
              <w:fldChar w:fldCharType="separate"/>
            </w:r>
            <w:r w:rsidR="00EE547A">
              <w:rPr>
                <w:rFonts w:ascii="仿宋_GB2312" w:eastAsia="仿宋_GB2312"/>
                <w:noProof/>
                <w:sz w:val="32"/>
                <w:szCs w:val="32"/>
              </w:rPr>
              <w:t>- 2 -</w:t>
            </w:r>
            <w:r w:rsidR="008349D9">
              <w:rPr>
                <w:rFonts w:ascii="仿宋_GB2312" w:eastAsia="仿宋_GB2312" w:hint="eastAsia"/>
                <w:noProof/>
                <w:sz w:val="32"/>
                <w:szCs w:val="32"/>
              </w:rPr>
              <w:fldChar w:fldCharType="end"/>
            </w:r>
          </w:hyperlink>
        </w:p>
        <w:p w14:paraId="22D83029" w14:textId="5F70E00D"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13" w:history="1">
            <w:r>
              <w:rPr>
                <w:rStyle w:val="a7"/>
                <w:rFonts w:ascii="仿宋_GB2312" w:eastAsia="仿宋_GB2312" w:hAnsi="仿宋" w:hint="eastAsia"/>
                <w:noProof/>
                <w:color w:val="auto"/>
                <w:sz w:val="32"/>
                <w:szCs w:val="32"/>
              </w:rPr>
              <w:t>第二章 财务部组织结构及职能</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_Toc66524513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- 2 -</w:t>
            </w:r>
            <w:r>
              <w:rPr>
                <w:rFonts w:ascii="仿宋_GB2312" w:eastAsia="仿宋_GB2312" w:hint="eastAsia"/>
                <w:noProof/>
                <w:sz w:val="32"/>
                <w:szCs w:val="32"/>
              </w:rPr>
              <w:fldChar w:fldCharType="end"/>
            </w:r>
          </w:hyperlink>
        </w:p>
        <w:p w14:paraId="5ABC4F90" w14:textId="54AFB5F3"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14" w:history="1">
            <w:r>
              <w:rPr>
                <w:rStyle w:val="a7"/>
                <w:rFonts w:ascii="仿宋_GB2312" w:eastAsia="仿宋_GB2312" w:hAnsi="仿宋" w:hint="eastAsia"/>
                <w:noProof/>
                <w:color w:val="auto"/>
                <w:sz w:val="32"/>
                <w:szCs w:val="32"/>
              </w:rPr>
              <w:t>第三章 财务人员工作岗位职责</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_Toc66524514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- 3 -</w:t>
            </w:r>
            <w:r>
              <w:rPr>
                <w:rFonts w:ascii="仿宋_GB2312" w:eastAsia="仿宋_GB2312" w:hint="eastAsia"/>
                <w:noProof/>
                <w:sz w:val="32"/>
                <w:szCs w:val="32"/>
              </w:rPr>
              <w:fldChar w:fldCharType="end"/>
            </w:r>
          </w:hyperlink>
        </w:p>
        <w:p w14:paraId="054529C6" w14:textId="2AEB68E9"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15" w:history="1">
            <w:r>
              <w:rPr>
                <w:rStyle w:val="a7"/>
                <w:rFonts w:ascii="仿宋_GB2312" w:eastAsia="仿宋_GB2312" w:hAnsi="仿宋" w:hint="eastAsia"/>
                <w:noProof/>
                <w:color w:val="auto"/>
                <w:sz w:val="32"/>
                <w:szCs w:val="32"/>
              </w:rPr>
              <w:t>第四章 财务预算</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_Toc66524515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- 5 -</w:t>
            </w:r>
            <w:r>
              <w:rPr>
                <w:rFonts w:ascii="仿宋_GB2312" w:eastAsia="仿宋_GB2312" w:hint="eastAsia"/>
                <w:noProof/>
                <w:sz w:val="32"/>
                <w:szCs w:val="32"/>
              </w:rPr>
              <w:fldChar w:fldCharType="end"/>
            </w:r>
          </w:hyperlink>
        </w:p>
        <w:p w14:paraId="496037F8" w14:textId="0B451798"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16" w:history="1">
            <w:r>
              <w:rPr>
                <w:rStyle w:val="a7"/>
                <w:rFonts w:ascii="仿宋_GB2312" w:eastAsia="仿宋_GB2312" w:hAnsi="楷体" w:hint="eastAsia"/>
                <w:noProof/>
                <w:color w:val="auto"/>
                <w:sz w:val="32"/>
                <w:szCs w:val="32"/>
              </w:rPr>
              <w:t>第五章 会计核算制度与会计报告</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_Toc66524516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- 6 -</w:t>
            </w:r>
            <w:r>
              <w:rPr>
                <w:rFonts w:ascii="仿宋_GB2312" w:eastAsia="仿宋_GB2312" w:hint="eastAsia"/>
                <w:noProof/>
                <w:sz w:val="32"/>
                <w:szCs w:val="32"/>
              </w:rPr>
              <w:fldChar w:fldCharType="end"/>
            </w:r>
          </w:hyperlink>
        </w:p>
        <w:p w14:paraId="0B4FF0ED" w14:textId="2D939C3E"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17" w:history="1">
            <w:r>
              <w:rPr>
                <w:rStyle w:val="a7"/>
                <w:rFonts w:ascii="仿宋_GB2312" w:eastAsia="仿宋_GB2312" w:hAnsi="楷体" w:hint="eastAsia"/>
                <w:noProof/>
                <w:color w:val="auto"/>
                <w:sz w:val="32"/>
                <w:szCs w:val="32"/>
              </w:rPr>
              <w:t>第六章 资金管理制度</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_Toc66524517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- 11 -</w:t>
            </w:r>
            <w:r>
              <w:rPr>
                <w:rFonts w:ascii="仿宋_GB2312" w:eastAsia="仿宋_GB2312" w:hint="eastAsia"/>
                <w:noProof/>
                <w:sz w:val="32"/>
                <w:szCs w:val="32"/>
              </w:rPr>
              <w:fldChar w:fldCharType="end"/>
            </w:r>
          </w:hyperlink>
        </w:p>
        <w:p w14:paraId="14DA60AF" w14:textId="79A2EBAE"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18" w:history="1">
            <w:r>
              <w:rPr>
                <w:rStyle w:val="a7"/>
                <w:rFonts w:ascii="仿宋_GB2312" w:eastAsia="仿宋_GB2312" w:hAnsi="楷体" w:hint="eastAsia"/>
                <w:noProof/>
                <w:color w:val="auto"/>
                <w:sz w:val="32"/>
                <w:szCs w:val="32"/>
              </w:rPr>
              <w:t>第七章 收入管理</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_Toc66524518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- 15 -</w:t>
            </w:r>
            <w:r>
              <w:rPr>
                <w:rFonts w:ascii="仿宋_GB2312" w:eastAsia="仿宋_GB2312" w:hint="eastAsia"/>
                <w:noProof/>
                <w:sz w:val="32"/>
                <w:szCs w:val="32"/>
              </w:rPr>
              <w:fldChar w:fldCharType="end"/>
            </w:r>
          </w:hyperlink>
        </w:p>
        <w:p w14:paraId="18BBCFFA" w14:textId="18726808"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19" w:history="1">
            <w:r>
              <w:rPr>
                <w:rStyle w:val="a7"/>
                <w:rFonts w:ascii="仿宋_GB2312" w:eastAsia="仿宋_GB2312" w:hAnsi="楷体" w:hint="eastAsia"/>
                <w:noProof/>
                <w:color w:val="auto"/>
                <w:sz w:val="32"/>
                <w:szCs w:val="32"/>
              </w:rPr>
              <w:t>第八章 支出管理</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_Toc66524519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- 17 -</w:t>
            </w:r>
            <w:r>
              <w:rPr>
                <w:rFonts w:ascii="仿宋_GB2312" w:eastAsia="仿宋_GB2312" w:hint="eastAsia"/>
                <w:noProof/>
                <w:sz w:val="32"/>
                <w:szCs w:val="32"/>
              </w:rPr>
              <w:fldChar w:fldCharType="end"/>
            </w:r>
          </w:hyperlink>
        </w:p>
        <w:p w14:paraId="78265859" w14:textId="3A683AA1"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20" w:history="1">
            <w:r>
              <w:rPr>
                <w:rStyle w:val="a7"/>
                <w:rFonts w:ascii="仿宋_GB2312" w:eastAsia="仿宋_GB2312" w:hAnsi="微软雅黑 Light" w:hint="eastAsia"/>
                <w:noProof/>
                <w:color w:val="auto"/>
                <w:sz w:val="32"/>
                <w:szCs w:val="32"/>
              </w:rPr>
              <w:t>第九章 固定资产管理制度</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_Toc66524520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- 20 -</w:t>
            </w:r>
            <w:r>
              <w:rPr>
                <w:rFonts w:ascii="仿宋_GB2312" w:eastAsia="仿宋_GB2312" w:hint="eastAsia"/>
                <w:noProof/>
                <w:sz w:val="32"/>
                <w:szCs w:val="32"/>
              </w:rPr>
              <w:fldChar w:fldCharType="end"/>
            </w:r>
          </w:hyperlink>
        </w:p>
        <w:p w14:paraId="721846D0" w14:textId="153A0431"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21" w:history="1">
            <w:r>
              <w:rPr>
                <w:rStyle w:val="a7"/>
                <w:rFonts w:ascii="仿宋_GB2312" w:eastAsia="仿宋_GB2312" w:hAnsi="楷体" w:hint="eastAsia"/>
                <w:noProof/>
                <w:color w:val="auto"/>
                <w:sz w:val="32"/>
                <w:szCs w:val="32"/>
              </w:rPr>
              <w:t>第十章 财务报销、付款及审批制度</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_Toc66524521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- 21 -</w:t>
            </w:r>
            <w:r>
              <w:rPr>
                <w:rFonts w:ascii="仿宋_GB2312" w:eastAsia="仿宋_GB2312" w:hint="eastAsia"/>
                <w:noProof/>
                <w:sz w:val="32"/>
                <w:szCs w:val="32"/>
              </w:rPr>
              <w:fldChar w:fldCharType="end"/>
            </w:r>
          </w:hyperlink>
        </w:p>
        <w:p w14:paraId="28619CC4" w14:textId="4DA1F64A"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22" w:history="1">
            <w:r>
              <w:rPr>
                <w:rStyle w:val="a7"/>
                <w:rFonts w:ascii="仿宋_GB2312" w:eastAsia="仿宋_GB2312" w:hint="eastAsia"/>
                <w:noProof/>
                <w:color w:val="auto"/>
                <w:sz w:val="32"/>
                <w:szCs w:val="32"/>
              </w:rPr>
              <w:t>第十一章 票据使用管理制度</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_Toc66524522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- 28 -</w:t>
            </w:r>
            <w:r>
              <w:rPr>
                <w:rFonts w:ascii="仿宋_GB2312" w:eastAsia="仿宋_GB2312" w:hint="eastAsia"/>
                <w:noProof/>
                <w:sz w:val="32"/>
                <w:szCs w:val="32"/>
              </w:rPr>
              <w:fldChar w:fldCharType="end"/>
            </w:r>
          </w:hyperlink>
        </w:p>
        <w:p w14:paraId="43C7C0C7" w14:textId="0F881E49"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23" w:history="1">
            <w:r>
              <w:rPr>
                <w:rStyle w:val="a7"/>
                <w:rFonts w:ascii="仿宋_GB2312" w:eastAsia="仿宋_GB2312" w:hAnsi="楷体" w:hint="eastAsia"/>
                <w:noProof/>
                <w:color w:val="auto"/>
                <w:sz w:val="32"/>
                <w:szCs w:val="32"/>
              </w:rPr>
              <w:t>第十二章 财务审计制度</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_Toc66524523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- 29 -</w:t>
            </w:r>
            <w:r>
              <w:rPr>
                <w:rFonts w:ascii="仿宋_GB2312" w:eastAsia="仿宋_GB2312" w:hint="eastAsia"/>
                <w:noProof/>
                <w:sz w:val="32"/>
                <w:szCs w:val="32"/>
              </w:rPr>
              <w:fldChar w:fldCharType="end"/>
            </w:r>
          </w:hyperlink>
        </w:p>
        <w:p w14:paraId="613B6743" w14:textId="68ED30F8" w:rsidR="008349D9" w:rsidRDefault="008349D9">
          <w:pPr>
            <w:pStyle w:val="TOC1"/>
            <w:tabs>
              <w:tab w:val="right" w:leader="dot" w:pos="8296"/>
            </w:tabs>
            <w:spacing w:line="560" w:lineRule="exact"/>
            <w:ind w:firstLine="200"/>
            <w:rPr>
              <w:rFonts w:ascii="仿宋_GB2312" w:eastAsia="仿宋_GB2312"/>
              <w:noProof/>
              <w:sz w:val="32"/>
              <w:szCs w:val="32"/>
            </w:rPr>
          </w:pPr>
          <w:hyperlink w:anchor="_Toc66524524" w:history="1">
            <w:r>
              <w:rPr>
                <w:rStyle w:val="a7"/>
                <w:rFonts w:ascii="仿宋_GB2312" w:eastAsia="仿宋_GB2312" w:hAnsi="楷体" w:hint="eastAsia"/>
                <w:noProof/>
                <w:color w:val="auto"/>
                <w:sz w:val="32"/>
                <w:szCs w:val="32"/>
              </w:rPr>
              <w:t>第十三章 会计档案的管理</w:t>
            </w:r>
            <w:r>
              <w:rPr>
                <w:rFonts w:ascii="仿宋_GB2312" w:eastAsia="仿宋_GB2312" w:hint="eastAsia"/>
                <w:noProof/>
                <w:sz w:val="32"/>
                <w:szCs w:val="32"/>
              </w:rPr>
              <w:tab/>
            </w:r>
            <w:r>
              <w:rPr>
                <w:rFonts w:ascii="仿宋_GB2312" w:eastAsia="仿宋_GB2312" w:hint="eastAsia"/>
                <w:noProof/>
                <w:sz w:val="32"/>
                <w:szCs w:val="32"/>
              </w:rPr>
              <w:fldChar w:fldCharType="begin"/>
            </w:r>
            <w:r>
              <w:rPr>
                <w:rFonts w:ascii="仿宋_GB2312" w:eastAsia="仿宋_GB2312" w:hint="eastAsia"/>
                <w:noProof/>
                <w:sz w:val="32"/>
                <w:szCs w:val="32"/>
              </w:rPr>
              <w:instrText xml:space="preserve"> PAGEREF _Toc66524524 \h </w:instrText>
            </w:r>
            <w:r>
              <w:rPr>
                <w:rFonts w:ascii="仿宋_GB2312" w:eastAsia="仿宋_GB2312" w:hint="eastAsia"/>
                <w:noProof/>
                <w:sz w:val="32"/>
                <w:szCs w:val="32"/>
              </w:rPr>
            </w:r>
            <w:r>
              <w:rPr>
                <w:rFonts w:ascii="仿宋_GB2312" w:eastAsia="仿宋_GB2312" w:hint="eastAsia"/>
                <w:noProof/>
                <w:sz w:val="32"/>
                <w:szCs w:val="32"/>
              </w:rPr>
              <w:fldChar w:fldCharType="separate"/>
            </w:r>
            <w:r w:rsidR="00EE547A">
              <w:rPr>
                <w:rFonts w:ascii="仿宋_GB2312" w:eastAsia="仿宋_GB2312"/>
                <w:noProof/>
                <w:sz w:val="32"/>
                <w:szCs w:val="32"/>
              </w:rPr>
              <w:t>- 29 -</w:t>
            </w:r>
            <w:r>
              <w:rPr>
                <w:rFonts w:ascii="仿宋_GB2312" w:eastAsia="仿宋_GB2312" w:hint="eastAsia"/>
                <w:noProof/>
                <w:sz w:val="32"/>
                <w:szCs w:val="32"/>
              </w:rPr>
              <w:fldChar w:fldCharType="end"/>
            </w:r>
          </w:hyperlink>
        </w:p>
        <w:p w14:paraId="3EF54E6E" w14:textId="77777777" w:rsidR="008349D9" w:rsidRDefault="00000000">
          <w:pPr>
            <w:spacing w:line="560" w:lineRule="exact"/>
            <w:ind w:firstLine="200"/>
            <w:rPr>
              <w:rFonts w:ascii="仿宋_GB2312" w:eastAsia="仿宋_GB2312"/>
              <w:sz w:val="32"/>
              <w:szCs w:val="32"/>
            </w:rPr>
          </w:pPr>
          <w:r>
            <w:rPr>
              <w:rFonts w:ascii="仿宋_GB2312" w:eastAsia="仿宋_GB2312" w:hint="eastAsia"/>
              <w:b/>
              <w:bCs/>
              <w:sz w:val="32"/>
              <w:szCs w:val="32"/>
              <w:lang w:val="zh-CN"/>
            </w:rPr>
            <w:fldChar w:fldCharType="end"/>
          </w:r>
        </w:p>
      </w:sdtContent>
    </w:sdt>
    <w:p w14:paraId="63CEAAAD" w14:textId="77777777" w:rsidR="008349D9" w:rsidRDefault="008349D9">
      <w:pPr>
        <w:spacing w:line="560" w:lineRule="exact"/>
        <w:ind w:firstLineChars="200" w:firstLine="643"/>
        <w:jc w:val="center"/>
        <w:rPr>
          <w:rFonts w:ascii="仿宋_GB2312" w:eastAsia="仿宋_GB2312" w:hAnsi="方正小标宋简体" w:hint="eastAsia"/>
          <w:b/>
          <w:sz w:val="32"/>
          <w:szCs w:val="32"/>
        </w:rPr>
      </w:pPr>
    </w:p>
    <w:p w14:paraId="0A768B17" w14:textId="77777777" w:rsidR="008349D9" w:rsidRDefault="008349D9">
      <w:pPr>
        <w:spacing w:line="560" w:lineRule="exact"/>
        <w:ind w:firstLineChars="200" w:firstLine="643"/>
        <w:jc w:val="center"/>
        <w:rPr>
          <w:rFonts w:ascii="仿宋_GB2312" w:eastAsia="仿宋_GB2312" w:hAnsi="方正小标宋简体" w:hint="eastAsia"/>
          <w:b/>
          <w:sz w:val="32"/>
          <w:szCs w:val="32"/>
        </w:rPr>
      </w:pPr>
    </w:p>
    <w:p w14:paraId="73B82E30" w14:textId="77777777" w:rsidR="008349D9" w:rsidRDefault="008349D9">
      <w:pPr>
        <w:spacing w:line="560" w:lineRule="exact"/>
        <w:ind w:firstLineChars="200" w:firstLine="643"/>
        <w:jc w:val="center"/>
        <w:rPr>
          <w:rFonts w:ascii="仿宋_GB2312" w:eastAsia="仿宋_GB2312" w:hAnsi="方正小标宋简体" w:hint="eastAsia"/>
          <w:b/>
          <w:sz w:val="32"/>
          <w:szCs w:val="32"/>
        </w:rPr>
      </w:pPr>
    </w:p>
    <w:p w14:paraId="17565BB5" w14:textId="77777777" w:rsidR="008349D9" w:rsidRDefault="008349D9">
      <w:pPr>
        <w:spacing w:line="560" w:lineRule="exact"/>
        <w:ind w:firstLineChars="200" w:firstLine="643"/>
        <w:jc w:val="center"/>
        <w:rPr>
          <w:rFonts w:ascii="仿宋_GB2312" w:eastAsia="仿宋_GB2312" w:hAnsi="方正小标宋简体" w:hint="eastAsia"/>
          <w:b/>
          <w:sz w:val="32"/>
          <w:szCs w:val="32"/>
        </w:rPr>
      </w:pPr>
    </w:p>
    <w:p w14:paraId="6F9318A3" w14:textId="77777777" w:rsidR="008349D9" w:rsidRDefault="008349D9">
      <w:pPr>
        <w:spacing w:line="560" w:lineRule="exact"/>
        <w:ind w:firstLineChars="200" w:firstLine="643"/>
        <w:jc w:val="center"/>
        <w:rPr>
          <w:rFonts w:ascii="仿宋_GB2312" w:eastAsia="仿宋_GB2312" w:hAnsi="方正小标宋简体" w:hint="eastAsia"/>
          <w:b/>
          <w:sz w:val="32"/>
          <w:szCs w:val="32"/>
        </w:rPr>
      </w:pPr>
    </w:p>
    <w:p w14:paraId="00C2957A" w14:textId="77777777" w:rsidR="008349D9" w:rsidRDefault="00000000">
      <w:pPr>
        <w:spacing w:line="560" w:lineRule="exact"/>
        <w:jc w:val="center"/>
        <w:rPr>
          <w:rFonts w:ascii="黑体" w:eastAsia="黑体" w:hAnsi="黑体" w:hint="eastAsia"/>
          <w:sz w:val="36"/>
          <w:szCs w:val="36"/>
        </w:rPr>
      </w:pPr>
      <w:bookmarkStart w:id="0" w:name="_Toc66524512"/>
      <w:r>
        <w:rPr>
          <w:rFonts w:ascii="黑体" w:eastAsia="黑体" w:hAnsi="黑体" w:hint="eastAsia"/>
          <w:sz w:val="36"/>
          <w:szCs w:val="36"/>
        </w:rPr>
        <w:lastRenderedPageBreak/>
        <w:t>第一章 总则</w:t>
      </w:r>
      <w:bookmarkEnd w:id="0"/>
    </w:p>
    <w:p w14:paraId="43ED0B90"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第一条 为加强本基金会的财务管理，严格财经纪律，提高财务管理水平，根据《中华人民共和国会计法》《财政部关于印发&lt;民间非营利组织会计制度&gt;的通知》《基金会管理条例》《关于规范基金会行为的若干规定（试行）》等规定和本基金会章程，结合实际，制定本制度。</w:t>
      </w:r>
    </w:p>
    <w:p w14:paraId="77E16D86"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第二条 本制度内容包括：财务组组织结构及职能、财务人员工作岗位职责、资金管理制度、会计核算与会计报告制度、财务预算制度、收入管理、支出管理、日常报销付款及审批制度、固定资产管理制度、票据使用管理制度、财务审计制度、会计档案管理制度。</w:t>
      </w:r>
    </w:p>
    <w:p w14:paraId="3F99E929" w14:textId="77777777" w:rsidR="008349D9" w:rsidRDefault="00000000">
      <w:pPr>
        <w:spacing w:line="560" w:lineRule="exact"/>
        <w:jc w:val="center"/>
        <w:rPr>
          <w:rFonts w:ascii="仿宋_GB2312" w:eastAsia="仿宋_GB2312" w:hAnsi="仿宋" w:hint="eastAsia"/>
          <w:sz w:val="32"/>
          <w:szCs w:val="32"/>
        </w:rPr>
      </w:pPr>
      <w:bookmarkStart w:id="1" w:name="_Toc66524513"/>
      <w:r>
        <w:rPr>
          <w:rFonts w:ascii="黑体" w:eastAsia="黑体" w:hAnsi="黑体" w:hint="eastAsia"/>
          <w:sz w:val="36"/>
          <w:szCs w:val="36"/>
        </w:rPr>
        <w:t>第二章 财务部组织结构及职能</w:t>
      </w:r>
      <w:bookmarkEnd w:id="1"/>
    </w:p>
    <w:p w14:paraId="0E92AFA7"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第三条 财务部的组织结构为：财务部设财务负责人一名，会计一名，出纳一名。</w:t>
      </w:r>
    </w:p>
    <w:p w14:paraId="2C694068"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第四条 财务部的职能</w:t>
      </w:r>
    </w:p>
    <w:p w14:paraId="5CD8AC19"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（一）认真贯彻执行国家相关的会计制度及税收管理法规，执行统一的财务制度；</w:t>
      </w:r>
    </w:p>
    <w:p w14:paraId="7F4F1E82"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（二）建立健全各项财务管理规章制度，检查监督财务纪律；</w:t>
      </w:r>
    </w:p>
    <w:p w14:paraId="195262DB"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（三）健全会计机构，合理分工，明确职责，保证会计核算资料的连续、完整和系统性；</w:t>
      </w:r>
    </w:p>
    <w:p w14:paraId="08A72854"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（四）规范会计基础工作，正确填制会计凭证、编制会计报表并及时报送相关数据资料；</w:t>
      </w:r>
    </w:p>
    <w:p w14:paraId="0FC2DDE9"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（五）组织预算编制并监督预算执行情况，出具预算执</w:t>
      </w:r>
      <w:r>
        <w:rPr>
          <w:rFonts w:ascii="仿宋_GB2312" w:eastAsia="仿宋_GB2312" w:hAnsi="仿宋" w:hint="eastAsia"/>
          <w:bCs/>
          <w:sz w:val="32"/>
          <w:szCs w:val="32"/>
        </w:rPr>
        <w:lastRenderedPageBreak/>
        <w:t>行情况报告；</w:t>
      </w:r>
    </w:p>
    <w:p w14:paraId="41C7DA62" w14:textId="53367EE2"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（六）积极为业务管理服务，通过财务监督发现问题，提出改进意见；</w:t>
      </w:r>
    </w:p>
    <w:p w14:paraId="2B11B7EC"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（七）协调与有关机构如民政、财政、银行、会计师事务所等的关系，及时掌握相关法律法规的变化，有效规范财务工作，及时提供有关财务资料；</w:t>
      </w:r>
    </w:p>
    <w:p w14:paraId="61C995CD"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（八）负责基金会的日常税务工作：税收政策收集、税收筹划、日常申报、减免税申请备案等；</w:t>
      </w:r>
    </w:p>
    <w:p w14:paraId="0D84B4BD"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（九）完成基金会交办的其它财务工作。</w:t>
      </w:r>
    </w:p>
    <w:p w14:paraId="7351429B" w14:textId="77777777" w:rsidR="008349D9" w:rsidRDefault="00000000">
      <w:pPr>
        <w:spacing w:line="560" w:lineRule="exact"/>
        <w:jc w:val="center"/>
        <w:rPr>
          <w:rFonts w:ascii="仿宋_GB2312" w:eastAsia="仿宋_GB2312" w:hAnsi="仿宋" w:hint="eastAsia"/>
          <w:sz w:val="32"/>
          <w:szCs w:val="32"/>
        </w:rPr>
      </w:pPr>
      <w:bookmarkStart w:id="2" w:name="_Toc66524514"/>
      <w:r>
        <w:rPr>
          <w:rFonts w:ascii="黑体" w:eastAsia="黑体" w:hAnsi="黑体" w:hint="eastAsia"/>
          <w:sz w:val="36"/>
          <w:szCs w:val="36"/>
        </w:rPr>
        <w:t>第三章 财务人员工作岗位职责</w:t>
      </w:r>
      <w:bookmarkEnd w:id="2"/>
    </w:p>
    <w:p w14:paraId="0F753005"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第五条 根据《章程》规定，财务负责人负责基金会日常财务运行管理，对秘书长、理事长负责。财务负责人岗位职责：</w:t>
      </w:r>
    </w:p>
    <w:p w14:paraId="1DBFDF19" w14:textId="77CCF5C6"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(一)负责基金会财务工作的全面管理；</w:t>
      </w:r>
    </w:p>
    <w:p w14:paraId="64DE8D29" w14:textId="0CFD9E13"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(二)组织落实年度预算的分解、编制、汇总，并检查、控制分析预算执行结果；</w:t>
      </w:r>
    </w:p>
    <w:p w14:paraId="48DA37E2" w14:textId="78A5FD2A"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(三)根据财务数据和实际情况，审核财务报表、编制财务分析；</w:t>
      </w:r>
    </w:p>
    <w:p w14:paraId="769EB8B5" w14:textId="12EE324A"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(四)负责基金会资金的调配、监督和管理控制；</w:t>
      </w:r>
    </w:p>
    <w:p w14:paraId="4220EF44" w14:textId="570C0870"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(五)负责协调基金会的内外部审计工作；</w:t>
      </w:r>
    </w:p>
    <w:p w14:paraId="0487D2C2" w14:textId="03AC9C70"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(六)配合项目资助的财务监控与审查工作；</w:t>
      </w:r>
    </w:p>
    <w:p w14:paraId="69AD01CA" w14:textId="0FFA2FCF"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(七)负责基金会财务管理制度及其他财务相关制度的编写及修改；</w:t>
      </w:r>
    </w:p>
    <w:p w14:paraId="2D2A8DC2" w14:textId="0C08D7BE"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(八)税收政策法规等收集、研究、传达；税收筹划；减</w:t>
      </w:r>
      <w:r>
        <w:rPr>
          <w:rFonts w:ascii="仿宋_GB2312" w:eastAsia="仿宋_GB2312" w:hAnsi="仿宋" w:hint="eastAsia"/>
          <w:bCs/>
          <w:sz w:val="32"/>
          <w:szCs w:val="32"/>
        </w:rPr>
        <w:lastRenderedPageBreak/>
        <w:t>免税申请、备案；日常纳税申报、汇算清缴；与税务相关部门的沟通与交流；与税务相关信息的披露与解答；与税务相关档案的归集存档。</w:t>
      </w:r>
    </w:p>
    <w:p w14:paraId="548D0A1E"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第六条 会计的主要工作职责</w:t>
      </w:r>
    </w:p>
    <w:p w14:paraId="41C9F50B" w14:textId="7BDFEC7F"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(一)配合建立健全基金会财务管理的各种规章制度；</w:t>
      </w:r>
    </w:p>
    <w:p w14:paraId="7BCA8028" w14:textId="5880ACCF"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(二)配合沟通、协调项目的财务工作；</w:t>
      </w:r>
    </w:p>
    <w:p w14:paraId="22A38495" w14:textId="5B7277F6"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(三)配合完成基金会年度财务报告的编制工作；</w:t>
      </w:r>
    </w:p>
    <w:p w14:paraId="7621F9F4" w14:textId="5170EE62"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(四)配合完成年度预算的统筹汇总工作，并定期提供预算执行情况分析报告；</w:t>
      </w:r>
    </w:p>
    <w:p w14:paraId="107EFDD4" w14:textId="74761385"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(五)根据需要，对已经完成的项目进行专项财务报告的编制工作；</w:t>
      </w:r>
    </w:p>
    <w:p w14:paraId="72DC6EFA" w14:textId="70D7C110"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(六)负责审计（外审、内审、项目审计）的工作；按照审计方要求，提供会计报表、会计报表附注、财务情况说明书等；</w:t>
      </w:r>
    </w:p>
    <w:p w14:paraId="0D9A592C" w14:textId="20166472"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(七)负责各项支出的审核工作和账务处理工作，编制月度报表；</w:t>
      </w:r>
    </w:p>
    <w:p w14:paraId="755B9345" w14:textId="161836F8"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(八)按月编制银行存款余额调节表；</w:t>
      </w:r>
    </w:p>
    <w:p w14:paraId="552DB74D" w14:textId="3A017B7F"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(九)与政府（财务）、税务等相关工作；</w:t>
      </w:r>
    </w:p>
    <w:p w14:paraId="55DDDAEA" w14:textId="65EB81D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(十)财务报表定期报送全体理事、监事；</w:t>
      </w:r>
    </w:p>
    <w:p w14:paraId="3B2429F6" w14:textId="16E0F29E"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(十一)审核向捐赠方开具的《捐赠收据》；</w:t>
      </w:r>
    </w:p>
    <w:p w14:paraId="756A8BDE" w14:textId="6C5E17AD"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(十二)严格按照财务制度对基金会各项费用及代收代付款项进行初审；</w:t>
      </w:r>
    </w:p>
    <w:p w14:paraId="1384CB1F" w14:textId="70BF3CE2"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(十三)财务资料及档案的装订、整理和保管工作；</w:t>
      </w:r>
    </w:p>
    <w:p w14:paraId="68712752" w14:textId="738F9FD0"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(十四)负责与基金会关于财务方面的日常联络工作；</w:t>
      </w:r>
    </w:p>
    <w:p w14:paraId="57FE646E" w14:textId="67F2D630"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lastRenderedPageBreak/>
        <w:t>(十五)完成领导交办的其他工作。</w:t>
      </w:r>
    </w:p>
    <w:p w14:paraId="555FC286" w14:textId="77777777"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第七条 出纳的主要工作职责</w:t>
      </w:r>
    </w:p>
    <w:p w14:paraId="55B68477" w14:textId="6CAE7925"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(一)开立银行账户，支票购买与开具，提取备用金、汇款、转账等工作（收到审批通过的付款单据后，七个工作日内完成付款）；</w:t>
      </w:r>
    </w:p>
    <w:p w14:paraId="5604B7C0" w14:textId="7C6A6BF6"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(二)按月领取银行对账单；</w:t>
      </w:r>
    </w:p>
    <w:p w14:paraId="0E0A1785" w14:textId="19BCAF63"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(三)银行存款日记账的登记；</w:t>
      </w:r>
    </w:p>
    <w:p w14:paraId="343509D5" w14:textId="76A1158B"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(四)现金管理，每日登记现金日记账，做到库存现金日清月结，月末编制现金盘点表；</w:t>
      </w:r>
    </w:p>
    <w:p w14:paraId="71C6F2EA" w14:textId="1CC478A0"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(五)完整保存各种财务单据，做好与会计当月单据的交接工作；</w:t>
      </w:r>
    </w:p>
    <w:p w14:paraId="7861E03C" w14:textId="385440CE"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(六)各种款项的结汇工作；</w:t>
      </w:r>
    </w:p>
    <w:p w14:paraId="5DE446EB" w14:textId="1346FEE6"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(七)负责基金会财务章的保管；</w:t>
      </w:r>
    </w:p>
    <w:p w14:paraId="19819F95" w14:textId="25AD6BCA"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(八)《捐赠收据》的保管及开具工作，出纳应在实际收到捐赠后据实开具捐赠票据；</w:t>
      </w:r>
    </w:p>
    <w:p w14:paraId="1CD3D46C" w14:textId="090CDAA2" w:rsidR="008349D9" w:rsidRDefault="00000000">
      <w:pPr>
        <w:spacing w:line="560" w:lineRule="exact"/>
        <w:ind w:firstLineChars="200" w:firstLine="640"/>
        <w:rPr>
          <w:rFonts w:ascii="仿宋_GB2312" w:eastAsia="仿宋_GB2312" w:hAnsi="仿宋" w:hint="eastAsia"/>
          <w:bCs/>
          <w:sz w:val="32"/>
          <w:szCs w:val="32"/>
        </w:rPr>
      </w:pPr>
      <w:r>
        <w:rPr>
          <w:rFonts w:ascii="仿宋_GB2312" w:eastAsia="仿宋_GB2312" w:hAnsi="仿宋" w:hint="eastAsia"/>
          <w:bCs/>
          <w:sz w:val="32"/>
          <w:szCs w:val="32"/>
        </w:rPr>
        <w:t>(九)其他领导交办的其他工作。</w:t>
      </w:r>
    </w:p>
    <w:p w14:paraId="73603F3F" w14:textId="77777777" w:rsidR="008349D9" w:rsidRDefault="00000000">
      <w:pPr>
        <w:spacing w:line="560" w:lineRule="exact"/>
        <w:jc w:val="center"/>
        <w:rPr>
          <w:rFonts w:ascii="仿宋_GB2312" w:eastAsia="仿宋_GB2312" w:hAnsi="仿宋" w:hint="eastAsia"/>
          <w:bCs/>
          <w:sz w:val="32"/>
          <w:szCs w:val="32"/>
        </w:rPr>
      </w:pPr>
      <w:bookmarkStart w:id="3" w:name="_Toc66524515"/>
      <w:r>
        <w:rPr>
          <w:rFonts w:ascii="黑体" w:eastAsia="黑体" w:hAnsi="黑体" w:hint="eastAsia"/>
          <w:sz w:val="36"/>
          <w:szCs w:val="36"/>
        </w:rPr>
        <w:t>第四章 财务预算</w:t>
      </w:r>
      <w:bookmarkEnd w:id="3"/>
    </w:p>
    <w:p w14:paraId="4E67533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第八条 财务预算的编制原则：统筹兼顾，量入为出，突出业务重点。</w:t>
      </w:r>
    </w:p>
    <w:p w14:paraId="6CEF49A7"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第九条 预算编制的流程：</w:t>
      </w:r>
    </w:p>
    <w:p w14:paraId="32E9771E"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(一)根据基金会的远期目标确定当年的工作规划；</w:t>
      </w:r>
    </w:p>
    <w:p w14:paraId="418B7FA8"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(二)基金会秘书长召开预算讨论会，确定年度工作任务；</w:t>
      </w:r>
    </w:p>
    <w:p w14:paraId="1FAD2DFE"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(三)根据工作任务进行预算编制工作；</w:t>
      </w:r>
    </w:p>
    <w:p w14:paraId="51CA3A92"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(四)财务部对预算进行汇总，并报理事长；</w:t>
      </w:r>
    </w:p>
    <w:p w14:paraId="5635CFF3"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lastRenderedPageBreak/>
        <w:t>(五)理事长对预算进行审核并提出改进意见；</w:t>
      </w:r>
    </w:p>
    <w:p w14:paraId="6977801B"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(六)财务部根据意见修改后，上报理事会；</w:t>
      </w:r>
    </w:p>
    <w:p w14:paraId="287A7C0E"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(七)理事会投票表决批准后，予以执行。</w:t>
      </w:r>
    </w:p>
    <w:p w14:paraId="7DF5DC4E"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第十条 各部门须按照理事会批准的预算及控制原则执行预算。预算一经确定，原则上不予调整。</w:t>
      </w:r>
    </w:p>
    <w:p w14:paraId="5C119784"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第十一条 在执行预算过程中，如需在预算总额内调整预算，且符合理事会审批的预算控制原则，各部门须事前由相关负责人向财务主任及秘书长提出书面申请，申请获批后，并经理事长批准后方可调整预算。</w:t>
      </w:r>
    </w:p>
    <w:p w14:paraId="29EE947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第十二条 如预算调整金额超过基金会年度预算总额，或预算调整与理事会预算控制原则不符，须事前由秘书处上报理事长审核，并经理事会审批，理事会审批通过后，方可调整预算。</w:t>
      </w:r>
    </w:p>
    <w:p w14:paraId="05961CB7" w14:textId="77777777" w:rsidR="008349D9" w:rsidRDefault="00000000">
      <w:pPr>
        <w:spacing w:line="560" w:lineRule="exact"/>
        <w:jc w:val="center"/>
        <w:rPr>
          <w:rFonts w:ascii="仿宋_GB2312" w:eastAsia="仿宋_GB2312" w:hAnsi="楷体" w:hint="eastAsia"/>
          <w:bCs/>
          <w:sz w:val="32"/>
          <w:szCs w:val="32"/>
        </w:rPr>
      </w:pPr>
      <w:bookmarkStart w:id="4" w:name="_Toc66524516"/>
      <w:r>
        <w:rPr>
          <w:rFonts w:ascii="黑体" w:eastAsia="黑体" w:hAnsi="黑体" w:hint="eastAsia"/>
          <w:sz w:val="36"/>
          <w:szCs w:val="36"/>
        </w:rPr>
        <w:t>第五章 会计核算制度与会计报告</w:t>
      </w:r>
      <w:bookmarkEnd w:id="4"/>
    </w:p>
    <w:p w14:paraId="6AD843A3"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第十三条 基金会执行《民办非营利组织会计制度》，并根据会计法规定严格执行《会计电算化管理办法》和《会计电算化工作规范》，采用财务软件进行电算化核算管理。</w:t>
      </w:r>
    </w:p>
    <w:p w14:paraId="05A7B60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第十四条 基金会的会计年度为每年1月1日起至12月31日止。</w:t>
      </w:r>
    </w:p>
    <w:p w14:paraId="0DFF2774"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第十五条 基金会采用权责发生制和借贷记账法记账。</w:t>
      </w:r>
    </w:p>
    <w:p w14:paraId="109938C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第十六条 会计核算应当以本基金会的交易或者事项为对象，记录和反映基金会本身的各项业务活动。</w:t>
      </w:r>
    </w:p>
    <w:p w14:paraId="6122ECA6"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第十七条 会计核算应当以本基金会的持续经营为前提。</w:t>
      </w:r>
    </w:p>
    <w:p w14:paraId="13DD806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第十八条 会计核算应当划分会计期间，分期结算帐目</w:t>
      </w:r>
      <w:r>
        <w:rPr>
          <w:rFonts w:ascii="仿宋_GB2312" w:eastAsia="仿宋_GB2312" w:hAnsi="楷体" w:hint="eastAsia"/>
          <w:sz w:val="32"/>
          <w:szCs w:val="32"/>
        </w:rPr>
        <w:lastRenderedPageBreak/>
        <w:t>和编制财务会计报告。</w:t>
      </w:r>
    </w:p>
    <w:p w14:paraId="33940966"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第十九条 基金会采用人民币为记账本位币。人民币同其他货币折算，按业务发生之日的汇率进行计算。基金会在核算外币业务时，应当设置相应的外币账户，外币账户包括外币货币、外币银行存款、以外币结算的债权和债务账户等，这些账户应当与非外币的各该相同账户分别设置，并分别核算。基金会发生外币业务时，应当将有关外币金额折算为人民币金额记账。除另有规定外，所有与外币业务有关的账户，应当采用业务发生时的汇率。当汇率波动较小时，也可以采用业务发生当期期初的汇率进行折算。各种外币账户的外币余额，期末时应当按照期末汇率折合为人民币。按照期末汇率折合的人民币金额与账面人民币金额之间的差额，作为汇兑损益计入当期费用。但是，属于在借款费用应予资本化的期间内发生的与购建固定资产有关的外币专门借款本金及其利息所产生的汇兑差额，应予以资本化，计入固定资产成本。</w:t>
      </w:r>
    </w:p>
    <w:p w14:paraId="51394BF2"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第二十条 本基金会在会计核算时，应当遵循以下基本原则：</w:t>
      </w:r>
    </w:p>
    <w:p w14:paraId="1E235E1B"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(一)会计核算应当以实际发生的交易或者事项为依据，如实反映本基金会的财务状况、业务活动情况和货币流量等信息。</w:t>
      </w:r>
    </w:p>
    <w:p w14:paraId="4DDDE77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(二)会计核算所提供的信息应当能够满足会计信息使用人（如捐赠人、理事会、监事会）的需要。</w:t>
      </w:r>
    </w:p>
    <w:p w14:paraId="55054F7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(三)会计核算应当按照交易或者事项的实质进行，而不</w:t>
      </w:r>
      <w:r>
        <w:rPr>
          <w:rFonts w:ascii="仿宋_GB2312" w:eastAsia="仿宋_GB2312" w:hAnsi="楷体" w:hint="eastAsia"/>
          <w:sz w:val="32"/>
          <w:szCs w:val="32"/>
        </w:rPr>
        <w:lastRenderedPageBreak/>
        <w:t>应当仅仅按照它们的法律形式作为其依据。</w:t>
      </w:r>
    </w:p>
    <w:p w14:paraId="47C5770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(四)会计政策前后各期应当保持一致，不得随意变更。如有必要变更，应当在会计报表附注中披露变更的内容和理由、变更的累积影响数、以及累积影响数不能合理确定的理由等。</w:t>
      </w:r>
    </w:p>
    <w:p w14:paraId="7D73D3E7"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(五)会计核算应当按照规定的会计处理方法进行，会计信息应当口径一致，相互可比。</w:t>
      </w:r>
    </w:p>
    <w:p w14:paraId="5F9543FF"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(六)会计核算应当及时进行，不得提前或延后。</w:t>
      </w:r>
    </w:p>
    <w:p w14:paraId="7C5E69DF"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(七)会计核算和编制的财务会计报告应当清晰明了，便于理解和使用。</w:t>
      </w:r>
    </w:p>
    <w:p w14:paraId="4D1080D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(八)在会计核算中，所发生的费用应当与其相关的收入相配比，同一会计期间内的各项收入和与其相关的费用，应当在该会计期间内确认。</w:t>
      </w:r>
    </w:p>
    <w:p w14:paraId="0D2C1A5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九)资产在取得时应当按照实际成本计量，但本制度有特别规定的，按照特别规定的计量基础进行计量。其后，资产账面价值的调整，应当按照本制度的规定执行。除法律、行政法规和国家统一的会计制度另有规定的外，基金会不得自行调整资产账面价值。</w:t>
      </w:r>
    </w:p>
    <w:p w14:paraId="6FFA5736"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(十)基金会遵循谨慎原则，合理核算可能发生的损失和费用，并坚持费用配比原则，保证基金会利益不受侵害。</w:t>
      </w:r>
    </w:p>
    <w:p w14:paraId="71F09EE3"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(十一)会计核算应当合理划分应当计入当期费用的支出和应当予以资本化的支出。</w:t>
      </w:r>
    </w:p>
    <w:p w14:paraId="370C567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(十二)会计核算应当遵循重要性原则的要求，对资产、负债、净资产、收入、费用等有较大影响，并进而影响财务</w:t>
      </w:r>
      <w:r>
        <w:rPr>
          <w:rFonts w:ascii="仿宋_GB2312" w:eastAsia="仿宋_GB2312" w:hAnsi="楷体" w:hint="eastAsia"/>
          <w:sz w:val="32"/>
          <w:szCs w:val="32"/>
        </w:rPr>
        <w:lastRenderedPageBreak/>
        <w:t>会计报告使用人据以做出合理判断的重要会计事项，必须按照规定的会计方法和程序进行处理，并在财务会计报告中予以充分披露；对于非重要的会计事项，在不影响会计信息真实性和不至于误导会计信息使用人做出正确判断的前提下，可适当简化处理。</w:t>
      </w:r>
    </w:p>
    <w:p w14:paraId="6F5CD6C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第二十一条 基金会统一使用中华人民共和国财政部发布的民间非营利组织会计科目和会计报表。</w:t>
      </w:r>
    </w:p>
    <w:p w14:paraId="57A8BD87"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第二十二条 基金会会计凭证、会计账簿、会计报表和其他会计资料必须真实、准确、完整，符合会计制度的规定。</w:t>
      </w:r>
    </w:p>
    <w:p w14:paraId="7F7BBC1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第二十三条 用以支付各种款项的原始凭证必须为原件，复印件不得作为原始凭证，如遇特殊情况须经财务主任、秘书长批准。从外单位取得的原始凭证如有遗失，应当取得原开出单位盖有公章的证明，并注明原来凭证的号码、金额和内容等，由财务主任、秘书长审核签字后，才能代作原始凭证。如果确实无法取得证明的，如火车、轮船、飞机票等凭证，由当事人写出详细情况，由财务主任、秘书长审核签字后，代作原始发票。对丢失原始发票的责任人，需承担基金会由此造成的税务及相关损失。</w:t>
      </w:r>
    </w:p>
    <w:p w14:paraId="48EB5BE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第二十四条 基金会工作人员工资福利和行政办公支出应当符合《基金会管理条例》的要求，累计不得超过当年总支出的10%。工作人员福利按照国家有关规定执行；工作人员工资福利包括：</w:t>
      </w:r>
    </w:p>
    <w:p w14:paraId="0830901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1.全体工作人员的工资、福利费、住房公积金、社会保险（障）费（含离退休人员）；</w:t>
      </w:r>
    </w:p>
    <w:p w14:paraId="4A14BBE4"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lastRenderedPageBreak/>
        <w:t>2.担任专职工作理事的津贴、补助和理事会运行费用。行政办公支出包括：组织日常运作的办公费、水电费、邮电费、物业管理费、会议费、广告费、市内交通费、差旅费、折旧费、修理费、租赁费、无形资产摊销费、资产盘亏损失、资产减值损失、因预计负债所产生的损失、审计费、以及聘请中介机构费和应偿还的受赠资产等。</w:t>
      </w:r>
    </w:p>
    <w:p w14:paraId="3B83F50E" w14:textId="77777777" w:rsidR="00F00371" w:rsidRDefault="00000000" w:rsidP="00F00371">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第二十五条 基金会用于公益事业的支出包括直接用于受助人的款物和为开展公益项目发生的直接运行费用，项目直接运行费用不超过公益项目总支出的5%。项目直接运行费用包括：</w:t>
      </w:r>
    </w:p>
    <w:p w14:paraId="47E7FD12" w14:textId="77777777" w:rsidR="00F00371" w:rsidRDefault="00000000" w:rsidP="00F00371">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1.支付给项目人员的报酬，包括：工资福利、劳务费、专家费等；</w:t>
      </w:r>
    </w:p>
    <w:p w14:paraId="4200489B" w14:textId="77777777" w:rsidR="00F00371" w:rsidRDefault="00000000" w:rsidP="00F00371">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2.为立项、执行、监督和评估公益项目发生的费用，包括：差旅费、交通费、通讯费、会议费、购买服务费等；</w:t>
      </w:r>
    </w:p>
    <w:p w14:paraId="357D138E" w14:textId="77777777" w:rsidR="00F00371" w:rsidRDefault="00000000" w:rsidP="00F00371">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3.为宣传、推广公益项目发生的费用，包括：广告费、购买服务费等；</w:t>
      </w:r>
    </w:p>
    <w:p w14:paraId="121CB4AB" w14:textId="113B92D8" w:rsidR="008349D9" w:rsidRDefault="00000000" w:rsidP="00F00371">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4.因项目需要租赁房屋、购买和维护固定资产的费用，包括：所发生的租赁费、折旧费、修理费、办公费、水电费、邮电费、物业管理费等；</w:t>
      </w:r>
    </w:p>
    <w:p w14:paraId="724BB43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5.为开展项目需要支付的其他费用。</w:t>
      </w:r>
    </w:p>
    <w:p w14:paraId="5D4DE012"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第二十六条 财务部应根据账簿记录按时编制会计报告。会计报告包括会计报表、管理报表及专项财务报告。</w:t>
      </w:r>
    </w:p>
    <w:p w14:paraId="0F9A0C0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会计报表包括：</w:t>
      </w:r>
    </w:p>
    <w:p w14:paraId="23CB2056"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（一）基金会资产负债表；</w:t>
      </w:r>
    </w:p>
    <w:p w14:paraId="42A44FE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lastRenderedPageBreak/>
        <w:t>（二）基金会业务活动表；</w:t>
      </w:r>
    </w:p>
    <w:p w14:paraId="3499D71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（三）基金会现金流量表；</w:t>
      </w:r>
    </w:p>
    <w:p w14:paraId="0CDC569C"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（四）基金会科目余额表；</w:t>
      </w:r>
    </w:p>
    <w:p w14:paraId="7BF35152"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管理报表包括：</w:t>
      </w:r>
    </w:p>
    <w:p w14:paraId="4083AEE6"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（一）预算执行情况表；</w:t>
      </w:r>
    </w:p>
    <w:p w14:paraId="16D98DFE"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（二）专项财务报告：根据情况需要，对已完成的较大项目进行的财务专项分析报告。</w:t>
      </w:r>
    </w:p>
    <w:p w14:paraId="3328F3FC"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第二十七条 年度会计报告须有编制人、审核人签名或盖章。</w:t>
      </w:r>
    </w:p>
    <w:p w14:paraId="30AE5A6B" w14:textId="77777777" w:rsidR="008349D9" w:rsidRDefault="00000000">
      <w:pPr>
        <w:spacing w:line="560" w:lineRule="exact"/>
        <w:jc w:val="center"/>
        <w:rPr>
          <w:rFonts w:ascii="仿宋_GB2312" w:eastAsia="仿宋_GB2312" w:hAnsi="楷体" w:hint="eastAsia"/>
          <w:bCs/>
          <w:sz w:val="32"/>
          <w:szCs w:val="32"/>
        </w:rPr>
      </w:pPr>
      <w:bookmarkStart w:id="5" w:name="_Toc66524517"/>
      <w:r>
        <w:rPr>
          <w:rFonts w:ascii="黑体" w:eastAsia="黑体" w:hAnsi="黑体" w:hint="eastAsia"/>
          <w:sz w:val="36"/>
          <w:szCs w:val="36"/>
        </w:rPr>
        <w:t>第六章 资金管理制度</w:t>
      </w:r>
      <w:bookmarkEnd w:id="5"/>
    </w:p>
    <w:p w14:paraId="2BCF83A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基金会的资金管理应遵循专款专用的原则，尊重资助方和捐赠人的意愿；资金管理严格按照计划、量入为出，保证财务现金流可持续运转；且资金管理要保证资金的安全及资金使用情况的可复核性。</w:t>
      </w:r>
    </w:p>
    <w:p w14:paraId="52F97946"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第二十八条 现金管理</w:t>
      </w:r>
    </w:p>
    <w:p w14:paraId="47AE5EB3"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(一)现金使用范围主要为日常办公及差旅支出，以及其他不能用支票或网上银行支出的费用等；</w:t>
      </w:r>
    </w:p>
    <w:p w14:paraId="0773E4EE"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(二)现金的提取：除特殊情况外，一次提取现金不得超过两万元；</w:t>
      </w:r>
    </w:p>
    <w:p w14:paraId="04222128"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(三)现金收付纪律：</w:t>
      </w:r>
    </w:p>
    <w:p w14:paraId="2C5EB2D4"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不准坐支现金，不准私用公款，不准借用账户套用现金；</w:t>
      </w:r>
    </w:p>
    <w:p w14:paraId="47FF4ACD"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不准保存账外款项，不准收付规定业务以外的现金；</w:t>
      </w:r>
    </w:p>
    <w:p w14:paraId="27E587DF"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原则上基金会不存放现金须及时送存银行；</w:t>
      </w:r>
    </w:p>
    <w:p w14:paraId="2B9A30FB"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严格审查现金付款凭证及原始凭证是否符合报销规定，</w:t>
      </w:r>
      <w:r>
        <w:rPr>
          <w:rFonts w:ascii="仿宋_GB2312" w:eastAsia="仿宋_GB2312" w:hAnsi="楷体" w:hint="eastAsia"/>
          <w:sz w:val="32"/>
          <w:szCs w:val="32"/>
        </w:rPr>
        <w:lastRenderedPageBreak/>
        <w:t>报销程序和审批手续是否正确、齐全，若发现凭证有伪造、涂改时，拒绝办理收付款手续，并及时报财务主任予以追究。</w:t>
      </w:r>
    </w:p>
    <w:p w14:paraId="5555E526"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第二十九条 现金使用须按照内部控制制度操作</w:t>
      </w:r>
    </w:p>
    <w:p w14:paraId="5B44C615" w14:textId="77777777" w:rsidR="008349D9" w:rsidRDefault="00000000">
      <w:pPr>
        <w:spacing w:line="560" w:lineRule="exact"/>
        <w:ind w:firstLineChars="200" w:firstLine="640"/>
        <w:jc w:val="left"/>
        <w:rPr>
          <w:rFonts w:ascii="仿宋_GB2312" w:eastAsia="仿宋_GB2312" w:hAnsi="楷体" w:hint="eastAsia"/>
          <w:sz w:val="32"/>
          <w:szCs w:val="32"/>
        </w:rPr>
      </w:pPr>
      <w:r>
        <w:rPr>
          <w:rFonts w:ascii="仿宋_GB2312" w:eastAsia="仿宋_GB2312" w:hAnsi="楷体" w:hint="eastAsia"/>
          <w:sz w:val="32"/>
          <w:szCs w:val="32"/>
        </w:rPr>
        <w:t>（一）钱账分管制度：即管钱的不管账，管账的不管钱原则。基金会专职出纳员，负责办理现金收、付和现金保管业务，非出纳人员不得经管现金收、付和现金保管业务。</w:t>
      </w:r>
    </w:p>
    <w:p w14:paraId="78700751" w14:textId="77777777" w:rsidR="008349D9" w:rsidRDefault="00000000">
      <w:pPr>
        <w:spacing w:line="560" w:lineRule="exact"/>
        <w:ind w:firstLineChars="200" w:firstLine="640"/>
        <w:jc w:val="left"/>
        <w:rPr>
          <w:rFonts w:ascii="仿宋_GB2312" w:eastAsia="仿宋_GB2312" w:hAnsi="楷体" w:hint="eastAsia"/>
          <w:sz w:val="32"/>
          <w:szCs w:val="32"/>
        </w:rPr>
      </w:pPr>
      <w:r>
        <w:rPr>
          <w:rFonts w:ascii="仿宋_GB2312" w:eastAsia="仿宋_GB2312" w:hAnsi="楷体" w:hint="eastAsia"/>
          <w:sz w:val="32"/>
          <w:szCs w:val="32"/>
        </w:rPr>
        <w:t>《会计法》规定出纳人员不得兼管稽核会计档案保管和收入、费用、债权、债务账目的登记工作，但应负责登记现金日记账和银行存款日记账，与会计员登记的现金银行存款总账，相互核对。</w:t>
      </w:r>
    </w:p>
    <w:p w14:paraId="7CD599A5" w14:textId="77777777" w:rsidR="008349D9" w:rsidRDefault="00000000">
      <w:pPr>
        <w:spacing w:line="560" w:lineRule="exact"/>
        <w:ind w:firstLineChars="200" w:firstLine="640"/>
        <w:jc w:val="left"/>
        <w:rPr>
          <w:rFonts w:ascii="仿宋_GB2312" w:eastAsia="仿宋_GB2312" w:hAnsi="楷体" w:hint="eastAsia"/>
          <w:sz w:val="32"/>
          <w:szCs w:val="32"/>
        </w:rPr>
      </w:pPr>
      <w:r>
        <w:rPr>
          <w:rFonts w:ascii="仿宋_GB2312" w:eastAsia="仿宋_GB2312" w:hAnsi="楷体" w:hint="eastAsia"/>
          <w:sz w:val="32"/>
          <w:szCs w:val="32"/>
        </w:rPr>
        <w:t>（二）现金开支的范围主要有：</w:t>
      </w:r>
    </w:p>
    <w:p w14:paraId="29744C73" w14:textId="77777777" w:rsidR="008349D9" w:rsidRDefault="00000000">
      <w:pPr>
        <w:spacing w:line="560" w:lineRule="exact"/>
        <w:ind w:firstLineChars="200" w:firstLine="640"/>
        <w:jc w:val="left"/>
        <w:rPr>
          <w:rFonts w:ascii="仿宋_GB2312" w:eastAsia="仿宋_GB2312" w:hAnsi="楷体" w:hint="eastAsia"/>
          <w:sz w:val="32"/>
          <w:szCs w:val="32"/>
        </w:rPr>
      </w:pPr>
      <w:r>
        <w:rPr>
          <w:rFonts w:ascii="仿宋_GB2312" w:eastAsia="仿宋_GB2312" w:hAnsi="楷体" w:hint="eastAsia"/>
          <w:sz w:val="32"/>
          <w:szCs w:val="32"/>
        </w:rPr>
        <w:t>（1）支付员工工资；（2）支付差旅费；（3）支付因公借款；（4）支付零星采购材料和用品款；（5）支付运杂费。</w:t>
      </w:r>
    </w:p>
    <w:p w14:paraId="6DA594D7" w14:textId="77777777" w:rsidR="008349D9" w:rsidRDefault="00000000">
      <w:pPr>
        <w:spacing w:line="560" w:lineRule="exact"/>
        <w:ind w:firstLineChars="200" w:firstLine="640"/>
        <w:jc w:val="left"/>
        <w:rPr>
          <w:rFonts w:ascii="仿宋_GB2312" w:eastAsia="仿宋_GB2312" w:hAnsi="楷体" w:hint="eastAsia"/>
          <w:sz w:val="32"/>
          <w:szCs w:val="32"/>
        </w:rPr>
      </w:pPr>
      <w:r>
        <w:rPr>
          <w:rFonts w:ascii="仿宋_GB2312" w:eastAsia="仿宋_GB2312" w:hAnsi="楷体" w:hint="eastAsia"/>
          <w:sz w:val="32"/>
          <w:szCs w:val="32"/>
        </w:rPr>
        <w:t>（三）现金必须及时交库：各部门不得收取现金，应由财务部统一开票收取，不得挪用、挤占和公款私存银行。</w:t>
      </w:r>
    </w:p>
    <w:p w14:paraId="044BFDBC" w14:textId="77777777" w:rsidR="008349D9" w:rsidRDefault="00000000">
      <w:pPr>
        <w:spacing w:line="560" w:lineRule="exact"/>
        <w:ind w:firstLineChars="200" w:firstLine="640"/>
        <w:jc w:val="left"/>
        <w:rPr>
          <w:rFonts w:ascii="仿宋_GB2312" w:eastAsia="仿宋_GB2312" w:hAnsi="楷体" w:hint="eastAsia"/>
          <w:sz w:val="32"/>
          <w:szCs w:val="32"/>
        </w:rPr>
      </w:pPr>
      <w:r>
        <w:rPr>
          <w:rFonts w:ascii="仿宋_GB2312" w:eastAsia="仿宋_GB2312" w:hAnsi="楷体" w:hint="eastAsia"/>
          <w:sz w:val="32"/>
          <w:szCs w:val="32"/>
        </w:rPr>
        <w:t>（四）坚持日清日结：出纳员办理现金出纳业务，必须做到按日清理、按日结账，结出库存现金账面余额，并与库存现金实地盘点数核对相符，是避免出现长款、短款账实不符的重要措施。如有长款、短款，应查明原因，属于账务的错误及时更正，属于出纳员工作疏忽或业务水平问题，一般应由过失人赔偿。</w:t>
      </w:r>
    </w:p>
    <w:p w14:paraId="7251D210" w14:textId="77777777" w:rsidR="008349D9" w:rsidRDefault="00000000">
      <w:pPr>
        <w:spacing w:line="560" w:lineRule="exact"/>
        <w:ind w:firstLineChars="200" w:firstLine="640"/>
        <w:jc w:val="left"/>
        <w:rPr>
          <w:rFonts w:ascii="仿宋_GB2312" w:eastAsia="仿宋_GB2312" w:hAnsi="楷体" w:hint="eastAsia"/>
          <w:sz w:val="32"/>
          <w:szCs w:val="32"/>
        </w:rPr>
      </w:pPr>
      <w:r>
        <w:rPr>
          <w:rFonts w:ascii="仿宋_GB2312" w:eastAsia="仿宋_GB2312" w:hAnsi="楷体" w:hint="eastAsia"/>
          <w:sz w:val="32"/>
          <w:szCs w:val="32"/>
        </w:rPr>
        <w:lastRenderedPageBreak/>
        <w:t>（五）坚持现金盘点制度：出纳自身盘点，应由领导以及有关业务人员定期抽查盘点，重点检查账款是否相符，有无白条抵库、有无私借公款、有无挪用公款、有无账外资金等违纪行为。</w:t>
      </w:r>
    </w:p>
    <w:p w14:paraId="47F49591" w14:textId="77777777" w:rsidR="008349D9" w:rsidRDefault="00000000">
      <w:pPr>
        <w:spacing w:line="560" w:lineRule="exact"/>
        <w:ind w:firstLineChars="200" w:firstLine="640"/>
        <w:jc w:val="left"/>
        <w:rPr>
          <w:rFonts w:ascii="仿宋_GB2312" w:eastAsia="仿宋_GB2312" w:hAnsi="楷体" w:hint="eastAsia"/>
          <w:sz w:val="32"/>
          <w:szCs w:val="32"/>
        </w:rPr>
      </w:pPr>
      <w:r>
        <w:rPr>
          <w:rFonts w:ascii="仿宋_GB2312" w:eastAsia="仿宋_GB2312" w:hAnsi="楷体" w:hint="eastAsia"/>
          <w:sz w:val="32"/>
          <w:szCs w:val="32"/>
        </w:rPr>
        <w:t>（六）规定库存现金限额：实际库存现金超过库存限额时，出纳员应将超过部分及时送存银行，如实际库存现金低于库存限额，应及时补提现金。</w:t>
      </w:r>
    </w:p>
    <w:p w14:paraId="0D1AA8EE"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第三十条 现金报销流程：</w:t>
      </w:r>
    </w:p>
    <w:p w14:paraId="52CF705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费用支出部门经办人填制支出凭单，凭正式发票（取得的原始发票上要注明有单位名称，票据填写要完整、印章要清楚，符合有关规定），经部门负责人签字同意，交会计审核签字，报秘书长批准签字，由出纳办理报销手续。</w:t>
      </w:r>
    </w:p>
    <w:p w14:paraId="7B1607E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因工作需要，如出差、业务招待和杂费；购买100元以上的办公用品等（100元以内，不予借支，先个人垫付，然后凭正式发票报销），支取现金时，必须由经办人员填写现金支出申请，经部门负责人签字同意，交会计审核签字，报秘书长批准签字，出纳方可办理支取现金手续。</w:t>
      </w:r>
    </w:p>
    <w:p w14:paraId="1739451E"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（三）报销事宜应由经办人员亲自办理，不得相互转让或让他人代替办理。</w:t>
      </w:r>
    </w:p>
    <w:p w14:paraId="0B1D457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（四）罚款一律不予报销。</w:t>
      </w:r>
    </w:p>
    <w:p w14:paraId="7CFF07EC"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（五）如需大额现金（一万元以上），应提前2天通知财务部，以便做好准备。</w:t>
      </w:r>
    </w:p>
    <w:p w14:paraId="5EDFE83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（六）现金领用人与审批人不得为同一人。</w:t>
      </w:r>
    </w:p>
    <w:p w14:paraId="4EDB523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第三十一条 支票管理</w:t>
      </w:r>
    </w:p>
    <w:p w14:paraId="4EEE5E46"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lastRenderedPageBreak/>
        <w:t>（一）开具的支票须写明经批准同意的收款人全称，收取的发票金额须与付款金额相符；</w:t>
      </w:r>
    </w:p>
    <w:p w14:paraId="29A39027"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（二）开出支票要正确登记，填写日期、用途、金额等，及时清理支票存根；</w:t>
      </w:r>
    </w:p>
    <w:p w14:paraId="02DDF127"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(三)银行支票如发生丢失，有关责任人应及时向开户银行报告。如系空白支票所造成的损失，丢失人员负有赔偿责任。</w:t>
      </w:r>
    </w:p>
    <w:p w14:paraId="1779158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第三十二条 银行账户管理</w:t>
      </w:r>
    </w:p>
    <w:p w14:paraId="1B3A890D"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（一）银行账户管理基金会根据相关规定设立银行基本户，并可根据业务需要开立一般账户，所有捐赠收入及支出均需通过基金会银行账户进行。</w:t>
      </w:r>
    </w:p>
    <w:p w14:paraId="2FA86F0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（二）各类货币资金，应按照资金性质或业务需要，开设银行账户进行结算。财务部应设置银行存款分户账，逐日记录收、支、结存情况，每月与银行对账单核对，编制未达账款调节表，保持账账相符。</w:t>
      </w:r>
    </w:p>
    <w:p w14:paraId="6BB7EE9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（三）各类银行存款的支票预留印鉴和密码，由财务负责人和出纳人员分别掌握，不得向其他部门或个人借用、泄漏。如因借用泄密而造成的经济损失应由财务部查明原因，追究借用、泄密者的赔偿责任。</w:t>
      </w:r>
    </w:p>
    <w:p w14:paraId="0A497758"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（四）使用现金支票，不论对外支付款项或补充库存，均需由财务负责人或其指定人签发。</w:t>
      </w:r>
    </w:p>
    <w:p w14:paraId="3F7425F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（五）使用转账支票，应由经办部门或经办人员持填写借据和结算凭证（包括购货发票、账单、收据等）经财务负责人和秘书长签字同意后，由出纳开出转账支票，凡不能预</w:t>
      </w:r>
      <w:r>
        <w:rPr>
          <w:rFonts w:ascii="仿宋_GB2312" w:eastAsia="仿宋_GB2312" w:hAnsi="楷体" w:hint="eastAsia"/>
          <w:sz w:val="32"/>
          <w:szCs w:val="32"/>
        </w:rPr>
        <w:lastRenderedPageBreak/>
        <w:t>先取得结算凭证，需要借用空白支票时填写借据和经财务负责人和秘书长签字同意后，由经办人员在出纳员处办理借（领）用款手续，并在支票有关栏目填写签发日期、用途和限额，方可借出。借出的转账支票如发生丢失现象，经办人员应及时向财务部报告，并向银行办理挂失手续。由于支票丢失造成的经济损失，应由丢失人赔偿，特殊情况可由财务部根据具体情况提出处理意见，经秘书长或理事会批准后处理。</w:t>
      </w:r>
    </w:p>
    <w:p w14:paraId="65E04027"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（六）需采用银行汇票、商业汇票、银行本票、汇兑、委托收款、信用证、托收承付等结算形式办理收、付款项者，同领用转账支票程序。</w:t>
      </w:r>
    </w:p>
    <w:p w14:paraId="6709FB72"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（七）严格执行银行结算规定。任何人不得出租或出借银行存款账户；不准签发空头支票和远期支票；不得弄虚作假套取现金和银行信用卡。否则，由此造成的罚款等损失应由责任人赔偿。</w:t>
      </w:r>
    </w:p>
    <w:p w14:paraId="0500381B"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第三十三条 加强审计监督</w:t>
      </w:r>
    </w:p>
    <w:p w14:paraId="747528A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建立内部审计制度，内审是本会内部控制系统中一个特殊的构成要素，是对内部控制的再控制。由于它对本会的管理风格、会计核算、控制程序等方面均熟悉，可以渗透到各个部门，使其对内部监督更为有效。同时聘请会计事务所等中介机构进行审计，逐渐形成一套内部审计与外部审计、常规审计与专项审计、静态审计与动态审计相结合的适应自身发展的监督体系，提升本基金会的会计信息质量和公信力。</w:t>
      </w:r>
    </w:p>
    <w:p w14:paraId="743BB0F9" w14:textId="3635FEF8" w:rsidR="008349D9" w:rsidRDefault="00000000">
      <w:pPr>
        <w:spacing w:line="560" w:lineRule="exact"/>
        <w:ind w:left="-1"/>
        <w:jc w:val="center"/>
        <w:rPr>
          <w:rFonts w:ascii="仿宋_GB2312" w:eastAsia="仿宋_GB2312" w:hAnsi="楷体" w:hint="eastAsia"/>
          <w:sz w:val="32"/>
          <w:szCs w:val="32"/>
        </w:rPr>
      </w:pPr>
      <w:bookmarkStart w:id="6" w:name="_Toc66524518"/>
      <w:r>
        <w:rPr>
          <w:rFonts w:ascii="黑体" w:eastAsia="黑体" w:hAnsi="黑体" w:hint="eastAsia"/>
          <w:sz w:val="36"/>
          <w:szCs w:val="36"/>
        </w:rPr>
        <w:t>第七章 收入管理</w:t>
      </w:r>
      <w:bookmarkEnd w:id="6"/>
    </w:p>
    <w:p w14:paraId="310126CF"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lastRenderedPageBreak/>
        <w:t>第三十四条 按照有关规定，本基金会设立专用账户，对基金会的收入实行专门管理。根据各项收入性质严格划分限定性收入和非限定性收入，各项收入均纳入年度总预算统筹计划。</w:t>
      </w:r>
    </w:p>
    <w:p w14:paraId="143AB1D6"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第三十五条 基金会筹集、接受捐赠，应当遵守法律法规，符合章程规定的宗旨和业务范围。</w:t>
      </w:r>
    </w:p>
    <w:p w14:paraId="2AC52208"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第三十六条 基金会接受捐赠，应当与捐赠人明确权利义务,并根据捐赠人的要求与其订立书面捐赠协议。</w:t>
      </w:r>
    </w:p>
    <w:p w14:paraId="67B744B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第三十七条 基金会接受捐赠应当确保公益性，附加对捐赠人构成利益回报条件的赠与和不符合公益性目的的赠与，不应确认为公益捐赠。</w:t>
      </w:r>
    </w:p>
    <w:p w14:paraId="7CD479C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第三十八条 收到公益捐赠现金或者支票，应当及时将现金或支票缴银行入账。</w:t>
      </w:r>
    </w:p>
    <w:p w14:paraId="7E50717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第三十九条 基金会接受非现金捐赠，应当在实际收到后确认收入。受赠财产未经基金会验收确认，由捐赠人直接转移给受助人或者其他第三方的，不得作为基金会的捐赠收入。</w:t>
      </w:r>
    </w:p>
    <w:p w14:paraId="6F1E395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第四十条 基金会接收非现金捐赠，应建立捐赠实物分类登记表册，登记物资品种、数量，收支账册纳入法定账簿记账，并按照以下方法确定入账价值：</w:t>
      </w:r>
    </w:p>
    <w:p w14:paraId="758AF80D"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（一）捐赠人提供发票、报关单等凭据的，应当以相关凭据作为确认入账价值的依据；捐赠方不能提供凭据的，应当以其他确认捐赠财产的证明，作为确认入账价值的依据；</w:t>
      </w:r>
    </w:p>
    <w:p w14:paraId="6F5AFA23"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（二）捐赠人提供的凭据或其他能够确认受赠资产价值</w:t>
      </w:r>
      <w:r>
        <w:rPr>
          <w:rFonts w:ascii="仿宋_GB2312" w:eastAsia="仿宋_GB2312" w:hAnsi="楷体" w:hint="eastAsia"/>
          <w:sz w:val="32"/>
          <w:szCs w:val="32"/>
        </w:rPr>
        <w:lastRenderedPageBreak/>
        <w:t>的证明上标明的金额与受赠资产公允价值相差较大的，应当以其公允价值作为入账价值；</w:t>
      </w:r>
    </w:p>
    <w:p w14:paraId="103B14D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捐赠人捐赠固定资产、股权、无形资产、文物文化资产，应当以具有合法资质的第三方机构的评估作为确认入账价值的依据。无法评估或经评估无法确认价格的，基金会不得计入捐赠收入，应当另外造册登记。</w:t>
      </w:r>
    </w:p>
    <w:p w14:paraId="459A526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第四十一条 分类核算捐赠收入与捐赠以外其他收入：基金会应当严格区分交换交易收入和捐赠收入。通过出售物资、提供服务、授权使用或转让资产包括无形资产等交换交易取得的收入，应当记入商品销售收入、提供服务收入等相关会计科目，不得计入捐赠收入。</w:t>
      </w:r>
    </w:p>
    <w:p w14:paraId="4C57B692"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第四十二条 基金会投资收益必须全部足额纳入统一账户进行管理，并确保用于符合公益宗旨的方向。</w:t>
      </w:r>
    </w:p>
    <w:p w14:paraId="5C03DCA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第四十三条 各项收入均归口由财务管理部门统一管理和核算，严格各类票据的使用和签发，严格捐赠票据及其他票据的使用和签发。</w:t>
      </w:r>
    </w:p>
    <w:p w14:paraId="2A97A112" w14:textId="2522A48D" w:rsidR="008349D9" w:rsidRDefault="00000000" w:rsidP="00737E94">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第四十四条 基金会合法收入受法律保护，任何单位和个人不得私分、侵占、挪用。</w:t>
      </w:r>
    </w:p>
    <w:p w14:paraId="160AEA23" w14:textId="77777777" w:rsidR="008349D9" w:rsidRDefault="00000000">
      <w:pPr>
        <w:spacing w:line="560" w:lineRule="exact"/>
        <w:jc w:val="center"/>
        <w:rPr>
          <w:rFonts w:ascii="仿宋_GB2312" w:eastAsia="仿宋_GB2312" w:hAnsi="楷体" w:hint="eastAsia"/>
          <w:sz w:val="32"/>
          <w:szCs w:val="32"/>
        </w:rPr>
      </w:pPr>
      <w:bookmarkStart w:id="7" w:name="_Toc66524519"/>
      <w:r>
        <w:rPr>
          <w:rFonts w:ascii="黑体" w:eastAsia="黑体" w:hAnsi="黑体" w:hint="eastAsia"/>
          <w:sz w:val="36"/>
          <w:szCs w:val="36"/>
        </w:rPr>
        <w:t>第八章 支出管理</w:t>
      </w:r>
      <w:bookmarkEnd w:id="7"/>
    </w:p>
    <w:p w14:paraId="3BC4F5D7"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第四十五条 各项支出的安排必须有利于公益事业发展，必须贯彻厉行节约和量力而行的原则，严格遵守各项财政、财务制度和财经纪律。</w:t>
      </w:r>
    </w:p>
    <w:p w14:paraId="0E180AA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第四十六条 按照理事会批准的年度预算和规定的开支范围、标准执行资助支出和费用支出，并严格按照捐赠协议</w:t>
      </w:r>
      <w:r>
        <w:rPr>
          <w:rFonts w:ascii="仿宋_GB2312" w:eastAsia="仿宋_GB2312" w:hAnsi="楷体" w:hint="eastAsia"/>
          <w:sz w:val="32"/>
          <w:szCs w:val="32"/>
        </w:rPr>
        <w:lastRenderedPageBreak/>
        <w:t>安排资助计划；建立健全各项支出管理和审批制度。</w:t>
      </w:r>
    </w:p>
    <w:p w14:paraId="4B5C8DF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第四十七条 基金会的支出包括慈善活动支出和管理费用。</w:t>
      </w:r>
    </w:p>
    <w:p w14:paraId="38BE2D0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第四十八条 基金会用于慈善活动支出包括直接用于受助人的款物和为开展公益项目发生的直接运行费用。项目直接运行费用包括：</w:t>
      </w:r>
    </w:p>
    <w:p w14:paraId="72D1E3D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（一）支付给项目人员的报酬，包括：工资福利、劳务费、专家费等；</w:t>
      </w:r>
    </w:p>
    <w:p w14:paraId="791DC24E"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（二）为立项、执行、监督和评估公益项目发生的费用，包括：差旅费、交通费、通讯费、会议费、购买服务费等；</w:t>
      </w:r>
    </w:p>
    <w:p w14:paraId="05B4346F"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（三）为宣传、推广公益项目发生的费用，包括：广告费、购买服务费等；</w:t>
      </w:r>
    </w:p>
    <w:p w14:paraId="6D4C30CE"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（四）因项目需要租赁房屋、购买和维护固定资产的费用，包括：所发生的租赁费、折旧费、修理费、办公费、水电费、邮电费、物业管理费等；</w:t>
      </w:r>
    </w:p>
    <w:p w14:paraId="1EF94EA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（五）为开展项目需要支付的其他费用。</w:t>
      </w:r>
    </w:p>
    <w:p w14:paraId="5D4BA51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第四十九条 管理费用是指基金会按照《民间非营利组织会计制度》规定，为保证本组织正常运转所发生的下列费用：</w:t>
      </w:r>
    </w:p>
    <w:p w14:paraId="3A09AC04"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（一）工作人员工资、福利费、社会保险（障）费（含离退休人员）、住房公积金；</w:t>
      </w:r>
    </w:p>
    <w:p w14:paraId="2018D99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（二）理事会等决策机构的工作经费及担任专职工作理事的津贴、补助和理事会运行费用；</w:t>
      </w:r>
    </w:p>
    <w:p w14:paraId="745F476B"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（三）组织日常运作的办公费、水电费、邮电费、物业</w:t>
      </w:r>
      <w:r>
        <w:rPr>
          <w:rFonts w:ascii="仿宋_GB2312" w:eastAsia="仿宋_GB2312" w:hAnsi="楷体" w:hint="eastAsia"/>
          <w:sz w:val="32"/>
          <w:szCs w:val="32"/>
        </w:rPr>
        <w:lastRenderedPageBreak/>
        <w:t>管理费、会议费、广告费、市内交通费、差旅费、折旧费、修理费、租赁费、无形资产摊销费、资产盘亏损失、资产减值损失、因预计负债所产生的损失、审计费、以及聘请中介机构费等。</w:t>
      </w:r>
    </w:p>
    <w:p w14:paraId="0643D97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第五十条 基金会的某些费用如果属于慈善活动、其他业务活动、管理活动等共同发生，且不能直接归属于某一类活动的，应当将这些费用按照合理的方法在各项活动中进行分配，分别计入慈善活动支出、其他业务活动成本、管理费用。</w:t>
      </w:r>
    </w:p>
    <w:p w14:paraId="73FAA556"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第五十一条 捐赠协议和筹捐公告中约定可以从公益捐赠中列支项目直接运行费用、工作人员工资福利和行政办公支出的，按照约定列支；对于没有约定的：</w:t>
      </w:r>
    </w:p>
    <w:p w14:paraId="71A5BEC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（一）项目直接运行费用，不得超过本基金会规定的标准支出；</w:t>
      </w:r>
    </w:p>
    <w:p w14:paraId="7E95309C"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（二）工作人员工资福利和行政办公支出，不得从公益捐赠中列支。</w:t>
      </w:r>
    </w:p>
    <w:p w14:paraId="3C76B9CC"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第五十二条 基金会年度管理费用支出应当根据《关于慈善组织开展慈善活动年度支出和管理费用的规定》第八条规定的净资产规模确定具体比例。</w:t>
      </w:r>
    </w:p>
    <w:p w14:paraId="31C29AF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第五十三条 慈善活动支出管理：</w:t>
      </w:r>
    </w:p>
    <w:p w14:paraId="11BF664C"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（一）每年用于从事章程规定的慈善活动支出，应按《关于慈善组织开展慈善活动年度支出和管理费用的规定》相关规定执行；</w:t>
      </w:r>
    </w:p>
    <w:p w14:paraId="76C43B6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（二）属于定向捐赠的项目支出由基金会按照捐赠人与</w:t>
      </w:r>
      <w:r>
        <w:rPr>
          <w:rFonts w:ascii="仿宋_GB2312" w:eastAsia="仿宋_GB2312" w:hAnsi="楷体" w:hint="eastAsia"/>
          <w:sz w:val="32"/>
          <w:szCs w:val="32"/>
        </w:rPr>
        <w:lastRenderedPageBreak/>
        <w:t>本会签署的捐赠协议执行，捐赠协议在双方负责人签字后生效。协议中已列明资金使用范围、方式、金额和支付时间的，在协议生效后即执行；</w:t>
      </w:r>
    </w:p>
    <w:p w14:paraId="6128282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（三）属于非定向捐赠的项目支出按照理事会审核议定的权限执行；</w:t>
      </w:r>
    </w:p>
    <w:p w14:paraId="5C982C9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（四）基金会对公益捐赠的使用情况进行全过程监督管控，确保受赠款物及时足额拨付和规范使用。</w:t>
      </w:r>
    </w:p>
    <w:p w14:paraId="765D239E" w14:textId="77777777" w:rsidR="008349D9" w:rsidRDefault="00000000">
      <w:pPr>
        <w:spacing w:line="560" w:lineRule="exact"/>
        <w:jc w:val="center"/>
        <w:rPr>
          <w:rFonts w:ascii="仿宋_GB2312" w:eastAsia="仿宋_GB2312" w:hAnsi="微软雅黑 Light" w:hint="eastAsia"/>
          <w:bCs/>
          <w:sz w:val="32"/>
          <w:szCs w:val="32"/>
        </w:rPr>
      </w:pPr>
      <w:bookmarkStart w:id="8" w:name="_Toc66524520"/>
      <w:r>
        <w:rPr>
          <w:rFonts w:ascii="黑体" w:eastAsia="黑体" w:hAnsi="黑体" w:hint="eastAsia"/>
          <w:sz w:val="36"/>
          <w:szCs w:val="36"/>
        </w:rPr>
        <w:t>第九章 固定资产管理制度</w:t>
      </w:r>
      <w:bookmarkEnd w:id="8"/>
    </w:p>
    <w:p w14:paraId="6E2C547D"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第五十四条 列为固定资产的标准是指使用期限超过一年，且单位价值2000元以上，并在使用过程中保持原有物质形态的资产，包括房屋及建筑物、机器设备、运输设备、工具器具等。</w:t>
      </w:r>
    </w:p>
    <w:p w14:paraId="35B2356C"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第五十五条 对于预算内固定资产的采购，由使用部门上报申请，行政办公室汇总，并报秘书长、理事长审批后方可采购。</w:t>
      </w:r>
    </w:p>
    <w:p w14:paraId="10B84D6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第五十六条 固定资产购回后，须由行政人员办理入库手续，然后由使用部门领出，指定专人负责保管，填写固定资产领用单。</w:t>
      </w:r>
    </w:p>
    <w:p w14:paraId="097D06E3"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第五十七条 财务人员需对固定资产建立台账，制定折旧政策。</w:t>
      </w:r>
    </w:p>
    <w:p w14:paraId="1C7DEFFC"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(一)计提折旧方法：基金会采用平均年限法计提折旧。</w:t>
      </w:r>
    </w:p>
    <w:p w14:paraId="266C4EE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(二)计提折旧的基数：固定资产初始计量的基本原则是采用实际成本原则，即固定资产按取得时的实际成本入账，固定资产的实际成本包括买价、包装费、运输费、交纳的有</w:t>
      </w:r>
      <w:r>
        <w:rPr>
          <w:rFonts w:ascii="仿宋_GB2312" w:eastAsia="仿宋_GB2312" w:hAnsi="楷体" w:hint="eastAsia"/>
          <w:sz w:val="32"/>
          <w:szCs w:val="32"/>
        </w:rPr>
        <w:lastRenderedPageBreak/>
        <w:t>关税金等相关费用，以及为使固定资产达到预定可使用状态前所必要的支出。</w:t>
      </w:r>
    </w:p>
    <w:p w14:paraId="241B7173"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(三)固定资产的净残值：基金会现有固定资产以原值的3</w:t>
      </w:r>
      <w:r>
        <w:rPr>
          <w:rFonts w:ascii="仿宋_GB2312" w:eastAsia="仿宋_GB2312" w:hAnsi="楷体"/>
          <w:sz w:val="32"/>
          <w:szCs w:val="32"/>
        </w:rPr>
        <w:t>%</w:t>
      </w:r>
      <w:r>
        <w:rPr>
          <w:rFonts w:ascii="仿宋_GB2312" w:eastAsia="仿宋_GB2312" w:hAnsi="楷体" w:hint="eastAsia"/>
          <w:sz w:val="32"/>
          <w:szCs w:val="32"/>
        </w:rPr>
        <w:t>计提残值。</w:t>
      </w:r>
    </w:p>
    <w:p w14:paraId="4BDBFC7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四)计提折旧年限：一般电子设备物品的折旧年限为3年，办公家具的折旧年限为5年，汽车的折旧年限为10年。折旧额应按月计提。当月增加的固定资产，当月不计提折旧，从下月起计提折旧，当月减少的固定资产，当月照提折旧，从下月起补提折旧。</w:t>
      </w:r>
    </w:p>
    <w:p w14:paraId="5171BAE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(五)提足折旧但仍然继续使用的固定资产和提前报废的固定资产均不再提取折旧。</w:t>
      </w:r>
    </w:p>
    <w:p w14:paraId="131BD696"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第五十八条 财务部须配合行政部定期或不定期地对基金会的固定资产进行实地盘点，每年至少盘点一次，做到账实相符。每次盘点结束，由行政部提交统计清单并对盘盈、盘亏的固定资产查明原因，报秘书长、财务主任及理事长批准后，财务部进行相应处理。</w:t>
      </w:r>
    </w:p>
    <w:p w14:paraId="2E03E17B"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第五十九条 固定资产使用部门发生变化，行政组应重新办理固定资产领用手续。并通知财务部。</w:t>
      </w:r>
    </w:p>
    <w:p w14:paraId="73A501E6" w14:textId="77777777" w:rsidR="008349D9" w:rsidRDefault="00000000">
      <w:pPr>
        <w:spacing w:line="560" w:lineRule="exact"/>
        <w:jc w:val="center"/>
        <w:rPr>
          <w:rFonts w:ascii="仿宋_GB2312" w:eastAsia="仿宋_GB2312" w:hAnsi="楷体" w:hint="eastAsia"/>
          <w:sz w:val="32"/>
          <w:szCs w:val="32"/>
        </w:rPr>
      </w:pPr>
      <w:bookmarkStart w:id="9" w:name="_Toc66524521"/>
      <w:r>
        <w:rPr>
          <w:rFonts w:ascii="黑体" w:eastAsia="黑体" w:hAnsi="黑体" w:hint="eastAsia"/>
          <w:sz w:val="36"/>
          <w:szCs w:val="36"/>
        </w:rPr>
        <w:t>第十章 财务报销、付款及审批制度</w:t>
      </w:r>
      <w:bookmarkEnd w:id="9"/>
    </w:p>
    <w:p w14:paraId="1C46BB0F"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第六十条 基金会的各项支出本着勤俭节约原则，实行按照预算额度及报销标准审批报销及支付制度。</w:t>
      </w:r>
    </w:p>
    <w:p w14:paraId="6082F48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第六十一条 基金会执行先取得票据后付款的财务原则。</w:t>
      </w:r>
    </w:p>
    <w:p w14:paraId="1AEAF2B3"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第六十二条 预借现金、支票及网银汇款程序：</w:t>
      </w:r>
    </w:p>
    <w:p w14:paraId="426D7DD7"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(一)基金会财务应严格管控借款，如确因业务需要办理</w:t>
      </w:r>
      <w:r>
        <w:rPr>
          <w:rFonts w:ascii="仿宋_GB2312" w:eastAsia="仿宋_GB2312" w:hAnsi="楷体" w:hint="eastAsia"/>
          <w:sz w:val="32"/>
          <w:szCs w:val="32"/>
        </w:rPr>
        <w:lastRenderedPageBreak/>
        <w:t>借款，借款人填写《借款申请单》，写明借款部门、借款人、借款日期、借款理由、借款金额、支付方式、借款人银行信息等内容，并附经济合同或相关证明，经秘书长、财务主任及理事长审批；</w:t>
      </w:r>
    </w:p>
    <w:p w14:paraId="7D817F83"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(二)借款人持经审批签字完毕的《借款申请单》到出纳处领取现金或支票，或由出纳办理网银汇款手续；</w:t>
      </w:r>
    </w:p>
    <w:p w14:paraId="6C05BFB2"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(三)借款人须在借款后十五个工作日内完成报销手续（差旅借款为出差结束后十个工作日完成报销手续），否则，财务部将依照“前账不清，后账不借“的原则中止该借款人办理其他借款事项。</w:t>
      </w:r>
    </w:p>
    <w:p w14:paraId="3397FA4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第六十三条 差旅费报销范围及要求：</w:t>
      </w:r>
    </w:p>
    <w:tbl>
      <w:tblPr>
        <w:tblW w:w="5554"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856"/>
        <w:gridCol w:w="2784"/>
        <w:gridCol w:w="1399"/>
        <w:gridCol w:w="1187"/>
        <w:gridCol w:w="1993"/>
      </w:tblGrid>
      <w:tr w:rsidR="008349D9" w14:paraId="66F37603" w14:textId="77777777" w:rsidTr="00EE547A">
        <w:trPr>
          <w:trHeight w:val="1134"/>
          <w:jc w:val="center"/>
        </w:trPr>
        <w:tc>
          <w:tcPr>
            <w:tcW w:w="1856" w:type="dxa"/>
            <w:tcBorders>
              <w:top w:val="outset" w:sz="6" w:space="0" w:color="000000"/>
              <w:left w:val="single" w:sz="4" w:space="0" w:color="auto"/>
              <w:bottom w:val="outset" w:sz="6" w:space="0" w:color="000000"/>
              <w:right w:val="outset" w:sz="6" w:space="0" w:color="000000"/>
            </w:tcBorders>
            <w:vAlign w:val="center"/>
          </w:tcPr>
          <w:p w14:paraId="07433FD9" w14:textId="77777777" w:rsidR="008349D9" w:rsidRDefault="00000000">
            <w:pPr>
              <w:widowControl/>
              <w:snapToGrid w:val="0"/>
              <w:spacing w:line="560" w:lineRule="exact"/>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级别</w:t>
            </w:r>
          </w:p>
        </w:tc>
        <w:tc>
          <w:tcPr>
            <w:tcW w:w="2784" w:type="dxa"/>
            <w:tcBorders>
              <w:top w:val="outset" w:sz="6" w:space="0" w:color="000000"/>
              <w:left w:val="outset" w:sz="6" w:space="0" w:color="000000"/>
              <w:bottom w:val="outset" w:sz="6" w:space="0" w:color="000000"/>
              <w:right w:val="outset" w:sz="6" w:space="0" w:color="000000"/>
            </w:tcBorders>
            <w:vAlign w:val="center"/>
          </w:tcPr>
          <w:p w14:paraId="39F50B59" w14:textId="77777777" w:rsidR="008349D9" w:rsidRDefault="00000000">
            <w:pPr>
              <w:widowControl/>
              <w:spacing w:line="560" w:lineRule="exact"/>
              <w:rPr>
                <w:rFonts w:ascii="仿宋_GB2312" w:eastAsia="仿宋_GB2312" w:hAnsi="楷体" w:cs="宋体" w:hint="eastAsia"/>
                <w:kern w:val="0"/>
                <w:sz w:val="30"/>
                <w:szCs w:val="30"/>
              </w:rPr>
            </w:pPr>
            <w:r>
              <w:rPr>
                <w:rFonts w:ascii="仿宋_GB2312" w:eastAsia="仿宋_GB2312" w:hAnsi="楷体" w:cs="宋体" w:hint="eastAsia"/>
                <w:kern w:val="0"/>
                <w:sz w:val="30"/>
                <w:szCs w:val="30"/>
              </w:rPr>
              <w:t>火车（含高铁、动车、全列软席列车）</w:t>
            </w:r>
          </w:p>
        </w:tc>
        <w:tc>
          <w:tcPr>
            <w:tcW w:w="1399" w:type="dxa"/>
            <w:tcBorders>
              <w:top w:val="outset" w:sz="6" w:space="0" w:color="000000"/>
              <w:left w:val="outset" w:sz="6" w:space="0" w:color="000000"/>
              <w:bottom w:val="outset" w:sz="6" w:space="0" w:color="000000"/>
              <w:right w:val="outset" w:sz="6" w:space="0" w:color="000000"/>
            </w:tcBorders>
            <w:vAlign w:val="center"/>
          </w:tcPr>
          <w:p w14:paraId="76CB3630" w14:textId="77777777" w:rsidR="008349D9" w:rsidRDefault="00000000">
            <w:pPr>
              <w:widowControl/>
              <w:spacing w:line="560" w:lineRule="exact"/>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轮船</w:t>
            </w:r>
          </w:p>
        </w:tc>
        <w:tc>
          <w:tcPr>
            <w:tcW w:w="1187" w:type="dxa"/>
            <w:tcBorders>
              <w:top w:val="outset" w:sz="6" w:space="0" w:color="000000"/>
              <w:left w:val="outset" w:sz="6" w:space="0" w:color="000000"/>
              <w:bottom w:val="outset" w:sz="6" w:space="0" w:color="000000"/>
              <w:right w:val="outset" w:sz="6" w:space="0" w:color="000000"/>
            </w:tcBorders>
            <w:vAlign w:val="center"/>
          </w:tcPr>
          <w:p w14:paraId="6CEAC0F4" w14:textId="77777777" w:rsidR="008349D9" w:rsidRDefault="00000000">
            <w:pPr>
              <w:widowControl/>
              <w:spacing w:line="560" w:lineRule="exact"/>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飞机</w:t>
            </w:r>
          </w:p>
        </w:tc>
        <w:tc>
          <w:tcPr>
            <w:tcW w:w="1993" w:type="dxa"/>
            <w:tcBorders>
              <w:top w:val="outset" w:sz="6" w:space="0" w:color="000000"/>
              <w:left w:val="outset" w:sz="6" w:space="0" w:color="000000"/>
              <w:bottom w:val="outset" w:sz="6" w:space="0" w:color="000000"/>
              <w:right w:val="outset" w:sz="6" w:space="0" w:color="000000"/>
            </w:tcBorders>
            <w:vAlign w:val="center"/>
          </w:tcPr>
          <w:p w14:paraId="04F931AD" w14:textId="77777777" w:rsidR="008349D9" w:rsidRDefault="00000000">
            <w:pPr>
              <w:widowControl/>
              <w:spacing w:line="560" w:lineRule="exact"/>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其他交通工具</w:t>
            </w:r>
          </w:p>
        </w:tc>
      </w:tr>
      <w:tr w:rsidR="008349D9" w14:paraId="37F23745" w14:textId="77777777" w:rsidTr="00EE547A">
        <w:trPr>
          <w:trHeight w:val="1658"/>
          <w:jc w:val="center"/>
        </w:trPr>
        <w:tc>
          <w:tcPr>
            <w:tcW w:w="1856" w:type="dxa"/>
            <w:tcBorders>
              <w:top w:val="outset" w:sz="6" w:space="0" w:color="000000"/>
              <w:left w:val="outset" w:sz="6" w:space="0" w:color="000000"/>
              <w:bottom w:val="outset" w:sz="6" w:space="0" w:color="000000"/>
              <w:right w:val="outset" w:sz="6" w:space="0" w:color="000000"/>
            </w:tcBorders>
            <w:vAlign w:val="center"/>
          </w:tcPr>
          <w:p w14:paraId="25034BD3" w14:textId="77777777" w:rsidR="008349D9" w:rsidRDefault="00000000">
            <w:pPr>
              <w:widowControl/>
              <w:spacing w:line="560" w:lineRule="exact"/>
              <w:ind w:firstLine="200"/>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理事长</w:t>
            </w:r>
          </w:p>
        </w:tc>
        <w:tc>
          <w:tcPr>
            <w:tcW w:w="2784" w:type="dxa"/>
            <w:tcBorders>
              <w:top w:val="outset" w:sz="6" w:space="0" w:color="000000"/>
              <w:left w:val="outset" w:sz="6" w:space="0" w:color="000000"/>
              <w:bottom w:val="outset" w:sz="6" w:space="0" w:color="000000"/>
              <w:right w:val="outset" w:sz="6" w:space="0" w:color="000000"/>
            </w:tcBorders>
            <w:vAlign w:val="center"/>
          </w:tcPr>
          <w:p w14:paraId="0A80A55D" w14:textId="77777777" w:rsidR="008349D9" w:rsidRDefault="00000000">
            <w:pPr>
              <w:widowControl/>
              <w:spacing w:line="560" w:lineRule="exact"/>
              <w:ind w:firstLine="200"/>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软席（软座、软卧），高铁/动车一等座，全列软席列车一等座</w:t>
            </w:r>
          </w:p>
        </w:tc>
        <w:tc>
          <w:tcPr>
            <w:tcW w:w="1399" w:type="dxa"/>
            <w:tcBorders>
              <w:top w:val="outset" w:sz="6" w:space="0" w:color="000000"/>
              <w:left w:val="outset" w:sz="6" w:space="0" w:color="000000"/>
              <w:bottom w:val="outset" w:sz="6" w:space="0" w:color="000000"/>
              <w:right w:val="outset" w:sz="6" w:space="0" w:color="000000"/>
            </w:tcBorders>
            <w:vAlign w:val="center"/>
          </w:tcPr>
          <w:p w14:paraId="04548DBF" w14:textId="77777777" w:rsidR="008349D9" w:rsidRDefault="00000000">
            <w:pPr>
              <w:widowControl/>
              <w:spacing w:line="560" w:lineRule="exact"/>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二等舱</w:t>
            </w:r>
          </w:p>
        </w:tc>
        <w:tc>
          <w:tcPr>
            <w:tcW w:w="1187" w:type="dxa"/>
            <w:tcBorders>
              <w:top w:val="outset" w:sz="6" w:space="0" w:color="000000"/>
              <w:left w:val="outset" w:sz="6" w:space="0" w:color="000000"/>
              <w:bottom w:val="outset" w:sz="6" w:space="0" w:color="000000"/>
              <w:right w:val="outset" w:sz="6" w:space="0" w:color="000000"/>
            </w:tcBorders>
            <w:vAlign w:val="center"/>
          </w:tcPr>
          <w:p w14:paraId="3ACE8B44" w14:textId="77777777" w:rsidR="008349D9" w:rsidRDefault="00000000">
            <w:pPr>
              <w:widowControl/>
              <w:spacing w:line="560" w:lineRule="exact"/>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经济舱</w:t>
            </w:r>
          </w:p>
        </w:tc>
        <w:tc>
          <w:tcPr>
            <w:tcW w:w="1993" w:type="dxa"/>
            <w:tcBorders>
              <w:top w:val="outset" w:sz="6" w:space="0" w:color="000000"/>
              <w:left w:val="outset" w:sz="6" w:space="0" w:color="000000"/>
              <w:bottom w:val="outset" w:sz="6" w:space="0" w:color="000000"/>
              <w:right w:val="outset" w:sz="6" w:space="0" w:color="000000"/>
            </w:tcBorders>
            <w:vAlign w:val="center"/>
          </w:tcPr>
          <w:p w14:paraId="20C16FFE" w14:textId="77777777" w:rsidR="008349D9" w:rsidRDefault="00000000">
            <w:pPr>
              <w:widowControl/>
              <w:spacing w:line="560" w:lineRule="exact"/>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凭据报销</w:t>
            </w:r>
          </w:p>
        </w:tc>
      </w:tr>
      <w:tr w:rsidR="008349D9" w14:paraId="4FE10407" w14:textId="77777777" w:rsidTr="00EE547A">
        <w:trPr>
          <w:trHeight w:val="1658"/>
          <w:jc w:val="center"/>
        </w:trPr>
        <w:tc>
          <w:tcPr>
            <w:tcW w:w="1856" w:type="dxa"/>
            <w:tcBorders>
              <w:top w:val="outset" w:sz="6" w:space="0" w:color="000000"/>
              <w:left w:val="outset" w:sz="6" w:space="0" w:color="000000"/>
              <w:bottom w:val="outset" w:sz="6" w:space="0" w:color="000000"/>
              <w:right w:val="outset" w:sz="6" w:space="0" w:color="000000"/>
            </w:tcBorders>
            <w:vAlign w:val="center"/>
          </w:tcPr>
          <w:p w14:paraId="623F1D4B" w14:textId="77777777" w:rsidR="008349D9" w:rsidRDefault="00000000">
            <w:pPr>
              <w:widowControl/>
              <w:spacing w:line="560" w:lineRule="exact"/>
              <w:ind w:firstLine="200"/>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其余人员</w:t>
            </w:r>
          </w:p>
        </w:tc>
        <w:tc>
          <w:tcPr>
            <w:tcW w:w="2784" w:type="dxa"/>
            <w:tcBorders>
              <w:top w:val="outset" w:sz="6" w:space="0" w:color="000000"/>
              <w:left w:val="outset" w:sz="6" w:space="0" w:color="000000"/>
              <w:bottom w:val="outset" w:sz="6" w:space="0" w:color="000000"/>
              <w:right w:val="outset" w:sz="6" w:space="0" w:color="000000"/>
            </w:tcBorders>
            <w:vAlign w:val="center"/>
          </w:tcPr>
          <w:p w14:paraId="2A53AE2C" w14:textId="77777777" w:rsidR="008349D9" w:rsidRDefault="00000000">
            <w:pPr>
              <w:widowControl/>
              <w:spacing w:line="560" w:lineRule="exact"/>
              <w:ind w:firstLine="200"/>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硬席（硬座、硬卧），高铁/动车二等座，全列软席列车二等座</w:t>
            </w:r>
          </w:p>
        </w:tc>
        <w:tc>
          <w:tcPr>
            <w:tcW w:w="1399" w:type="dxa"/>
            <w:tcBorders>
              <w:top w:val="outset" w:sz="6" w:space="0" w:color="000000"/>
              <w:left w:val="outset" w:sz="6" w:space="0" w:color="000000"/>
              <w:bottom w:val="outset" w:sz="6" w:space="0" w:color="000000"/>
              <w:right w:val="outset" w:sz="6" w:space="0" w:color="000000"/>
            </w:tcBorders>
            <w:vAlign w:val="center"/>
          </w:tcPr>
          <w:p w14:paraId="674DA559" w14:textId="77777777" w:rsidR="008349D9" w:rsidRDefault="00000000">
            <w:pPr>
              <w:widowControl/>
              <w:spacing w:line="560" w:lineRule="exact"/>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三等舱</w:t>
            </w:r>
          </w:p>
        </w:tc>
        <w:tc>
          <w:tcPr>
            <w:tcW w:w="1187" w:type="dxa"/>
            <w:tcBorders>
              <w:top w:val="outset" w:sz="6" w:space="0" w:color="000000"/>
              <w:left w:val="outset" w:sz="6" w:space="0" w:color="000000"/>
              <w:bottom w:val="outset" w:sz="6" w:space="0" w:color="000000"/>
              <w:right w:val="outset" w:sz="6" w:space="0" w:color="000000"/>
            </w:tcBorders>
            <w:vAlign w:val="center"/>
          </w:tcPr>
          <w:p w14:paraId="28CD3F98" w14:textId="77777777" w:rsidR="008349D9" w:rsidRDefault="00000000">
            <w:pPr>
              <w:widowControl/>
              <w:spacing w:line="560" w:lineRule="exact"/>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经济舱</w:t>
            </w:r>
          </w:p>
        </w:tc>
        <w:tc>
          <w:tcPr>
            <w:tcW w:w="1993" w:type="dxa"/>
            <w:tcBorders>
              <w:top w:val="outset" w:sz="6" w:space="0" w:color="000000"/>
              <w:left w:val="outset" w:sz="6" w:space="0" w:color="000000"/>
              <w:bottom w:val="outset" w:sz="6" w:space="0" w:color="000000"/>
              <w:right w:val="outset" w:sz="6" w:space="0" w:color="000000"/>
            </w:tcBorders>
            <w:vAlign w:val="center"/>
          </w:tcPr>
          <w:p w14:paraId="650D7226" w14:textId="77777777" w:rsidR="008349D9" w:rsidRDefault="00000000">
            <w:pPr>
              <w:widowControl/>
              <w:spacing w:line="560" w:lineRule="exact"/>
              <w:jc w:val="center"/>
              <w:rPr>
                <w:rFonts w:ascii="仿宋_GB2312" w:eastAsia="仿宋_GB2312" w:hAnsi="楷体" w:cs="宋体" w:hint="eastAsia"/>
                <w:kern w:val="0"/>
                <w:sz w:val="30"/>
                <w:szCs w:val="30"/>
              </w:rPr>
            </w:pPr>
            <w:r>
              <w:rPr>
                <w:rFonts w:ascii="仿宋_GB2312" w:eastAsia="仿宋_GB2312" w:hAnsi="楷体" w:cs="宋体" w:hint="eastAsia"/>
                <w:kern w:val="0"/>
                <w:sz w:val="30"/>
                <w:szCs w:val="30"/>
              </w:rPr>
              <w:t>凭据报销</w:t>
            </w:r>
          </w:p>
        </w:tc>
      </w:tr>
    </w:tbl>
    <w:p w14:paraId="066473C9" w14:textId="2D692DF6" w:rsidR="008349D9" w:rsidRDefault="00000000">
      <w:pPr>
        <w:widowControl/>
        <w:spacing w:line="560" w:lineRule="exact"/>
        <w:ind w:firstLineChars="200" w:firstLine="640"/>
        <w:jc w:val="left"/>
        <w:rPr>
          <w:rFonts w:ascii="仿宋_GB2312" w:eastAsia="仿宋_GB2312" w:hAnsi="楷体" w:cs="宋体" w:hint="eastAsia"/>
          <w:kern w:val="0"/>
          <w:sz w:val="32"/>
          <w:szCs w:val="32"/>
        </w:rPr>
      </w:pPr>
      <w:r>
        <w:rPr>
          <w:rFonts w:ascii="仿宋_GB2312" w:eastAsia="仿宋_GB2312" w:hAnsi="楷体" w:cs="宋体" w:hint="eastAsia"/>
          <w:kern w:val="0"/>
          <w:sz w:val="32"/>
          <w:szCs w:val="32"/>
          <w:shd w:val="clear" w:color="auto" w:fill="FFFFFF"/>
        </w:rPr>
        <w:t>（一）未按规定等级乘坐交通工具的，超支部分由个人自理。</w:t>
      </w:r>
    </w:p>
    <w:p w14:paraId="56BAA76E" w14:textId="406CEA66" w:rsidR="008349D9" w:rsidRDefault="00000000">
      <w:pPr>
        <w:widowControl/>
        <w:spacing w:line="560" w:lineRule="exact"/>
        <w:ind w:firstLineChars="200" w:firstLine="640"/>
        <w:jc w:val="left"/>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lastRenderedPageBreak/>
        <w:t>（二）到出差目的地有多种交通工具可选择时，出差人员在不影响公务、确保安全的前提下，应当选乘经济便捷的交通工具。</w:t>
      </w:r>
    </w:p>
    <w:p w14:paraId="51B616C1" w14:textId="4D2C3FCF" w:rsidR="008349D9" w:rsidRDefault="00000000">
      <w:pPr>
        <w:widowControl/>
        <w:spacing w:line="560" w:lineRule="exact"/>
        <w:ind w:firstLineChars="200" w:firstLine="640"/>
        <w:jc w:val="left"/>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（三）乘坐飞机的，民航发展基金、燃油附加费可以凭据报销。</w:t>
      </w:r>
    </w:p>
    <w:p w14:paraId="5193C440" w14:textId="3598C290" w:rsidR="008349D9" w:rsidRDefault="00000000">
      <w:pPr>
        <w:widowControl/>
        <w:spacing w:line="560" w:lineRule="exact"/>
        <w:ind w:firstLineChars="200" w:firstLine="640"/>
        <w:jc w:val="left"/>
        <w:rPr>
          <w:rFonts w:ascii="仿宋_GB2312" w:eastAsia="仿宋_GB2312" w:hAnsi="楷体" w:cs="宋体" w:hint="eastAsia"/>
          <w:kern w:val="0"/>
          <w:sz w:val="32"/>
          <w:szCs w:val="32"/>
        </w:rPr>
      </w:pPr>
      <w:r>
        <w:rPr>
          <w:rFonts w:ascii="仿宋_GB2312" w:eastAsia="仿宋_GB2312" w:hAnsi="楷体" w:cs="宋体" w:hint="eastAsia"/>
          <w:kern w:val="0"/>
          <w:sz w:val="32"/>
          <w:szCs w:val="32"/>
          <w:shd w:val="clear" w:color="auto" w:fill="FFFFFF"/>
        </w:rPr>
        <w:t>（四）乘坐飞机、火车、轮船等交通工具的，每人次可以购买交通意外保险一份。所在单位统一购买交通意外保险的，不再重复购买。</w:t>
      </w:r>
    </w:p>
    <w:p w14:paraId="2CDCB8CC"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第六十四条</w:t>
      </w:r>
      <w:r>
        <w:rPr>
          <w:rFonts w:ascii="仿宋_GB2312" w:eastAsia="仿宋_GB2312" w:hAnsi="楷体"/>
          <w:sz w:val="32"/>
          <w:szCs w:val="32"/>
        </w:rPr>
        <w:t xml:space="preserve"> </w:t>
      </w:r>
      <w:r>
        <w:rPr>
          <w:rFonts w:ascii="仿宋_GB2312" w:eastAsia="仿宋_GB2312" w:hAnsi="楷体" w:hint="eastAsia"/>
          <w:sz w:val="32"/>
          <w:szCs w:val="32"/>
        </w:rPr>
        <w:t>住宿费是指工作人员因公出差期间入住宾馆（包括饭店、招待所，下同）发生的房租费用。参照河北省事业单位差旅费标准执行，理事长按照厅级标准，其他人员按其他人员级别执行。</w:t>
      </w:r>
    </w:p>
    <w:p w14:paraId="2AAA3304" w14:textId="2F03E0BA"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省内住宿费标准按照理事长800元、其他人员350元限额标准执行</w:t>
      </w:r>
      <w:r w:rsidR="008969A9">
        <w:rPr>
          <w:rFonts w:ascii="仿宋_GB2312" w:eastAsia="仿宋_GB2312" w:hAnsi="楷体" w:hint="eastAsia"/>
          <w:sz w:val="32"/>
          <w:szCs w:val="32"/>
        </w:rPr>
        <w:t>，如遇特殊情况除外</w:t>
      </w:r>
      <w:r>
        <w:rPr>
          <w:rFonts w:ascii="仿宋_GB2312" w:eastAsia="仿宋_GB2312" w:hAnsi="楷体" w:hint="eastAsia"/>
          <w:sz w:val="32"/>
          <w:szCs w:val="32"/>
        </w:rPr>
        <w:t>。省外住宿费标准</w:t>
      </w:r>
      <w:r w:rsidR="00006B84">
        <w:rPr>
          <w:rFonts w:ascii="仿宋_GB2312" w:eastAsia="仿宋_GB2312" w:hAnsi="楷体" w:hint="eastAsia"/>
          <w:sz w:val="32"/>
          <w:szCs w:val="32"/>
        </w:rPr>
        <w:t>参考</w:t>
      </w:r>
      <w:r>
        <w:rPr>
          <w:rFonts w:ascii="仿宋_GB2312" w:eastAsia="仿宋_GB2312" w:hAnsi="楷体" w:hint="eastAsia"/>
          <w:sz w:val="32"/>
          <w:szCs w:val="32"/>
        </w:rPr>
        <w:t>《中央和国家机关差旅费管理办法》（财行[2013]531号）规定分职级、分地区限额标准执行（</w:t>
      </w:r>
      <w:r w:rsidR="009302F7">
        <w:rPr>
          <w:rFonts w:ascii="仿宋_GB2312" w:eastAsia="仿宋_GB2312" w:hAnsi="楷体" w:hint="eastAsia"/>
          <w:sz w:val="32"/>
          <w:szCs w:val="32"/>
        </w:rPr>
        <w:t>详</w:t>
      </w:r>
      <w:r>
        <w:rPr>
          <w:rFonts w:ascii="仿宋_GB2312" w:eastAsia="仿宋_GB2312" w:hAnsi="楷体" w:hint="eastAsia"/>
          <w:sz w:val="32"/>
          <w:szCs w:val="32"/>
        </w:rPr>
        <w:t>见</w:t>
      </w:r>
      <w:r w:rsidR="009302F7">
        <w:rPr>
          <w:rFonts w:ascii="仿宋_GB2312" w:eastAsia="仿宋_GB2312" w:hAnsi="楷体" w:hint="eastAsia"/>
          <w:sz w:val="32"/>
          <w:szCs w:val="32"/>
        </w:rPr>
        <w:t>下表</w:t>
      </w:r>
      <w:r>
        <w:rPr>
          <w:rFonts w:ascii="仿宋_GB2312" w:eastAsia="仿宋_GB2312" w:hAnsi="楷体" w:hint="eastAsia"/>
          <w:sz w:val="32"/>
          <w:szCs w:val="32"/>
        </w:rPr>
        <w:t>）</w:t>
      </w:r>
      <w:r w:rsidR="008969A9">
        <w:rPr>
          <w:rFonts w:ascii="仿宋_GB2312" w:eastAsia="仿宋_GB2312" w:hAnsi="楷体" w:hint="eastAsia"/>
          <w:sz w:val="32"/>
          <w:szCs w:val="32"/>
        </w:rPr>
        <w:t>，如遇特殊情况除外</w:t>
      </w:r>
      <w:r>
        <w:rPr>
          <w:rFonts w:ascii="仿宋_GB2312" w:eastAsia="仿宋_GB2312" w:hAnsi="楷体" w:hint="eastAsia"/>
          <w:sz w:val="32"/>
          <w:szCs w:val="32"/>
        </w:rPr>
        <w:t>。</w:t>
      </w:r>
    </w:p>
    <w:p w14:paraId="697D30F8" w14:textId="7AF277FA" w:rsidR="009302F7" w:rsidRDefault="00F00371" w:rsidP="009302F7">
      <w:pPr>
        <w:spacing w:line="560" w:lineRule="exact"/>
        <w:ind w:firstLineChars="200" w:firstLine="640"/>
        <w:jc w:val="center"/>
        <w:rPr>
          <w:rFonts w:ascii="仿宋_GB2312" w:eastAsia="仿宋_GB2312" w:hAnsi="楷体" w:hint="eastAsia"/>
          <w:sz w:val="32"/>
          <w:szCs w:val="32"/>
        </w:rPr>
      </w:pPr>
      <w:r w:rsidRPr="00F00371">
        <w:rPr>
          <w:rFonts w:ascii="仿宋_GB2312" w:eastAsia="仿宋_GB2312" w:hAnsi="楷体" w:hint="eastAsia"/>
          <w:sz w:val="32"/>
          <w:szCs w:val="32"/>
        </w:rPr>
        <w:t>差旅住宿费和伙食补助费标准表</w:t>
      </w:r>
    </w:p>
    <w:tbl>
      <w:tblPr>
        <w:tblW w:w="5121"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2260"/>
        <w:gridCol w:w="1454"/>
        <w:gridCol w:w="1173"/>
        <w:gridCol w:w="1206"/>
        <w:gridCol w:w="2404"/>
      </w:tblGrid>
      <w:tr w:rsidR="008349D9" w14:paraId="704606A0" w14:textId="77777777" w:rsidTr="00EC664F">
        <w:trPr>
          <w:tblHeader/>
          <w:jc w:val="center"/>
        </w:trPr>
        <w:tc>
          <w:tcPr>
            <w:tcW w:w="2260" w:type="dxa"/>
            <w:vMerge w:val="restart"/>
            <w:tcBorders>
              <w:top w:val="outset" w:sz="6" w:space="0" w:color="000000"/>
              <w:left w:val="outset" w:sz="6" w:space="0" w:color="000000"/>
              <w:bottom w:val="outset" w:sz="6" w:space="0" w:color="000000"/>
              <w:right w:val="outset" w:sz="6" w:space="0" w:color="000000"/>
            </w:tcBorders>
            <w:vAlign w:val="center"/>
          </w:tcPr>
          <w:p w14:paraId="76967811" w14:textId="02D28127" w:rsidR="008349D9" w:rsidRDefault="00EC664F">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地区</w:t>
            </w:r>
          </w:p>
        </w:tc>
        <w:tc>
          <w:tcPr>
            <w:tcW w:w="3833" w:type="dxa"/>
            <w:gridSpan w:val="3"/>
            <w:tcBorders>
              <w:top w:val="outset" w:sz="6" w:space="0" w:color="000000"/>
              <w:left w:val="outset" w:sz="6" w:space="0" w:color="000000"/>
              <w:bottom w:val="outset" w:sz="6" w:space="0" w:color="000000"/>
              <w:right w:val="outset" w:sz="6" w:space="0" w:color="000000"/>
            </w:tcBorders>
            <w:vAlign w:val="center"/>
          </w:tcPr>
          <w:p w14:paraId="4A4224CA" w14:textId="77777777" w:rsidR="00F00371"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住宿费标准</w:t>
            </w:r>
          </w:p>
          <w:p w14:paraId="058914B9" w14:textId="42F19DDE" w:rsidR="008349D9" w:rsidRDefault="009302F7">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（单位：元）</w:t>
            </w:r>
          </w:p>
        </w:tc>
        <w:tc>
          <w:tcPr>
            <w:tcW w:w="2404" w:type="dxa"/>
            <w:vMerge w:val="restart"/>
            <w:tcBorders>
              <w:top w:val="outset" w:sz="6" w:space="0" w:color="000000"/>
              <w:left w:val="outset" w:sz="6" w:space="0" w:color="000000"/>
              <w:bottom w:val="outset" w:sz="6" w:space="0" w:color="000000"/>
              <w:right w:val="outset" w:sz="6" w:space="0" w:color="000000"/>
            </w:tcBorders>
            <w:vAlign w:val="center"/>
          </w:tcPr>
          <w:p w14:paraId="0134269B" w14:textId="77777777" w:rsidR="009302F7"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伙食补助费标准</w:t>
            </w:r>
          </w:p>
          <w:p w14:paraId="76ECAA16" w14:textId="6B359223" w:rsidR="008349D9" w:rsidRDefault="009302F7">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（单位：元）</w:t>
            </w:r>
          </w:p>
        </w:tc>
      </w:tr>
      <w:tr w:rsidR="008349D9" w14:paraId="4E6A98B6" w14:textId="77777777" w:rsidTr="00EC664F">
        <w:trPr>
          <w:tblHeader/>
          <w:jc w:val="center"/>
        </w:trPr>
        <w:tc>
          <w:tcPr>
            <w:tcW w:w="2260" w:type="dxa"/>
            <w:vMerge/>
            <w:tcBorders>
              <w:top w:val="outset" w:sz="6" w:space="0" w:color="000000"/>
              <w:left w:val="outset" w:sz="6" w:space="0" w:color="000000"/>
              <w:bottom w:val="outset" w:sz="6" w:space="0" w:color="000000"/>
              <w:right w:val="outset" w:sz="6" w:space="0" w:color="000000"/>
            </w:tcBorders>
            <w:vAlign w:val="center"/>
          </w:tcPr>
          <w:p w14:paraId="4979130C" w14:textId="77777777" w:rsidR="008349D9" w:rsidRDefault="008349D9">
            <w:pPr>
              <w:widowControl/>
              <w:spacing w:line="560" w:lineRule="exact"/>
              <w:ind w:firstLine="200"/>
              <w:jc w:val="left"/>
              <w:rPr>
                <w:rFonts w:ascii="仿宋_GB2312" w:eastAsia="仿宋_GB2312" w:hAnsi="楷体" w:cs="宋体" w:hint="eastAsia"/>
                <w:kern w:val="0"/>
                <w:sz w:val="32"/>
                <w:szCs w:val="32"/>
              </w:rPr>
            </w:pPr>
          </w:p>
        </w:tc>
        <w:tc>
          <w:tcPr>
            <w:tcW w:w="1454" w:type="dxa"/>
            <w:tcBorders>
              <w:top w:val="outset" w:sz="6" w:space="0" w:color="000000"/>
              <w:left w:val="outset" w:sz="6" w:space="0" w:color="000000"/>
              <w:bottom w:val="outset" w:sz="6" w:space="0" w:color="000000"/>
              <w:right w:val="outset" w:sz="6" w:space="0" w:color="000000"/>
            </w:tcBorders>
            <w:vAlign w:val="center"/>
          </w:tcPr>
          <w:p w14:paraId="44DC94FE" w14:textId="77777777" w:rsidR="008349D9" w:rsidRDefault="00000000">
            <w:pPr>
              <w:widowControl/>
              <w:spacing w:line="560" w:lineRule="exact"/>
              <w:jc w:val="left"/>
              <w:rPr>
                <w:rFonts w:ascii="仿宋_GB2312" w:eastAsia="仿宋_GB2312" w:hAnsi="楷体" w:cs="宋体" w:hint="eastAsia"/>
                <w:kern w:val="0"/>
                <w:sz w:val="32"/>
                <w:szCs w:val="32"/>
              </w:rPr>
            </w:pPr>
            <w:r>
              <w:rPr>
                <w:rFonts w:ascii="仿宋_GB2312" w:eastAsia="仿宋_GB2312" w:hAnsi="楷体" w:cs="宋体" w:hint="eastAsia"/>
                <w:kern w:val="0"/>
                <w:sz w:val="32"/>
                <w:szCs w:val="32"/>
              </w:rPr>
              <w:t>省级(普通套间)</w:t>
            </w:r>
          </w:p>
        </w:tc>
        <w:tc>
          <w:tcPr>
            <w:tcW w:w="1173" w:type="dxa"/>
            <w:tcBorders>
              <w:top w:val="outset" w:sz="6" w:space="0" w:color="000000"/>
              <w:left w:val="outset" w:sz="6" w:space="0" w:color="000000"/>
              <w:bottom w:val="outset" w:sz="6" w:space="0" w:color="000000"/>
              <w:right w:val="outset" w:sz="6" w:space="0" w:color="000000"/>
            </w:tcBorders>
            <w:vAlign w:val="center"/>
          </w:tcPr>
          <w:p w14:paraId="5D4CA1BF" w14:textId="77777777" w:rsidR="008349D9" w:rsidRDefault="00000000">
            <w:pPr>
              <w:widowControl/>
              <w:spacing w:line="560" w:lineRule="exact"/>
              <w:jc w:val="left"/>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厅局级（单间或标准间）</w:t>
            </w:r>
          </w:p>
        </w:tc>
        <w:tc>
          <w:tcPr>
            <w:tcW w:w="1206" w:type="dxa"/>
            <w:tcBorders>
              <w:top w:val="outset" w:sz="6" w:space="0" w:color="000000"/>
              <w:left w:val="outset" w:sz="6" w:space="0" w:color="000000"/>
              <w:bottom w:val="outset" w:sz="6" w:space="0" w:color="000000"/>
              <w:right w:val="outset" w:sz="6" w:space="0" w:color="000000"/>
            </w:tcBorders>
            <w:vAlign w:val="center"/>
          </w:tcPr>
          <w:p w14:paraId="5FE6158B" w14:textId="77777777" w:rsidR="008349D9" w:rsidRDefault="00000000">
            <w:pPr>
              <w:widowControl/>
              <w:spacing w:line="560" w:lineRule="exact"/>
              <w:jc w:val="left"/>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其他人员（单间或标准间）</w:t>
            </w:r>
          </w:p>
        </w:tc>
        <w:tc>
          <w:tcPr>
            <w:tcW w:w="2404" w:type="dxa"/>
            <w:vMerge/>
            <w:tcBorders>
              <w:top w:val="outset" w:sz="6" w:space="0" w:color="000000"/>
              <w:left w:val="outset" w:sz="6" w:space="0" w:color="000000"/>
              <w:bottom w:val="outset" w:sz="6" w:space="0" w:color="000000"/>
              <w:right w:val="outset" w:sz="6" w:space="0" w:color="000000"/>
            </w:tcBorders>
            <w:vAlign w:val="center"/>
          </w:tcPr>
          <w:p w14:paraId="18D56AB0" w14:textId="77777777" w:rsidR="008349D9" w:rsidRDefault="008349D9">
            <w:pPr>
              <w:widowControl/>
              <w:spacing w:line="560" w:lineRule="exact"/>
              <w:ind w:firstLine="200"/>
              <w:jc w:val="left"/>
              <w:rPr>
                <w:rFonts w:ascii="仿宋_GB2312" w:eastAsia="仿宋_GB2312" w:hAnsi="楷体" w:cs="宋体" w:hint="eastAsia"/>
                <w:kern w:val="0"/>
                <w:sz w:val="32"/>
                <w:szCs w:val="32"/>
              </w:rPr>
            </w:pPr>
          </w:p>
        </w:tc>
      </w:tr>
      <w:tr w:rsidR="008349D9" w14:paraId="2D44C68B"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6A714F7D"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省内出差标准</w:t>
            </w:r>
          </w:p>
        </w:tc>
        <w:tc>
          <w:tcPr>
            <w:tcW w:w="1454" w:type="dxa"/>
            <w:tcBorders>
              <w:top w:val="outset" w:sz="6" w:space="0" w:color="000000"/>
              <w:left w:val="outset" w:sz="6" w:space="0" w:color="000000"/>
              <w:bottom w:val="outset" w:sz="6" w:space="0" w:color="000000"/>
              <w:right w:val="outset" w:sz="6" w:space="0" w:color="000000"/>
            </w:tcBorders>
            <w:vAlign w:val="center"/>
          </w:tcPr>
          <w:p w14:paraId="1803524B"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5278BF97"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450</w:t>
            </w:r>
          </w:p>
        </w:tc>
        <w:tc>
          <w:tcPr>
            <w:tcW w:w="1206" w:type="dxa"/>
            <w:tcBorders>
              <w:top w:val="outset" w:sz="6" w:space="0" w:color="000000"/>
              <w:left w:val="outset" w:sz="6" w:space="0" w:color="000000"/>
              <w:bottom w:val="outset" w:sz="6" w:space="0" w:color="000000"/>
              <w:right w:val="outset" w:sz="6" w:space="0" w:color="000000"/>
            </w:tcBorders>
            <w:vAlign w:val="center"/>
          </w:tcPr>
          <w:p w14:paraId="7D5AF47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2561A00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01827EFA" w14:textId="77777777" w:rsidTr="00F00371">
        <w:trPr>
          <w:jc w:val="center"/>
        </w:trPr>
        <w:tc>
          <w:tcPr>
            <w:tcW w:w="8497" w:type="dxa"/>
            <w:gridSpan w:val="5"/>
            <w:tcBorders>
              <w:top w:val="outset" w:sz="6" w:space="0" w:color="000000"/>
              <w:left w:val="outset" w:sz="6" w:space="0" w:color="000000"/>
              <w:bottom w:val="outset" w:sz="6" w:space="0" w:color="000000"/>
              <w:right w:val="outset" w:sz="6" w:space="0" w:color="000000"/>
            </w:tcBorders>
            <w:vAlign w:val="center"/>
          </w:tcPr>
          <w:p w14:paraId="42819D76"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lastRenderedPageBreak/>
              <w:t>省外出差标准</w:t>
            </w:r>
          </w:p>
        </w:tc>
      </w:tr>
      <w:tr w:rsidR="008349D9" w14:paraId="193EFFAA"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064DFEC3"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北京</w:t>
            </w:r>
          </w:p>
        </w:tc>
        <w:tc>
          <w:tcPr>
            <w:tcW w:w="1454" w:type="dxa"/>
            <w:tcBorders>
              <w:top w:val="outset" w:sz="6" w:space="0" w:color="000000"/>
              <w:left w:val="outset" w:sz="6" w:space="0" w:color="000000"/>
              <w:bottom w:val="outset" w:sz="6" w:space="0" w:color="000000"/>
              <w:right w:val="outset" w:sz="6" w:space="0" w:color="000000"/>
            </w:tcBorders>
            <w:vAlign w:val="center"/>
          </w:tcPr>
          <w:p w14:paraId="79332C52"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3B3834F1"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500</w:t>
            </w:r>
          </w:p>
        </w:tc>
        <w:tc>
          <w:tcPr>
            <w:tcW w:w="1206" w:type="dxa"/>
            <w:tcBorders>
              <w:top w:val="outset" w:sz="6" w:space="0" w:color="000000"/>
              <w:left w:val="outset" w:sz="6" w:space="0" w:color="000000"/>
              <w:bottom w:val="outset" w:sz="6" w:space="0" w:color="000000"/>
              <w:right w:val="outset" w:sz="6" w:space="0" w:color="000000"/>
            </w:tcBorders>
            <w:vAlign w:val="center"/>
          </w:tcPr>
          <w:p w14:paraId="7653D265"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450</w:t>
            </w:r>
          </w:p>
        </w:tc>
        <w:tc>
          <w:tcPr>
            <w:tcW w:w="2404" w:type="dxa"/>
            <w:tcBorders>
              <w:top w:val="outset" w:sz="6" w:space="0" w:color="000000"/>
              <w:left w:val="outset" w:sz="6" w:space="0" w:color="000000"/>
              <w:bottom w:val="outset" w:sz="6" w:space="0" w:color="000000"/>
              <w:right w:val="outset" w:sz="6" w:space="0" w:color="000000"/>
            </w:tcBorders>
            <w:vAlign w:val="center"/>
          </w:tcPr>
          <w:p w14:paraId="08BB6C8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0645E6E3"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20E2CBF7"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天津</w:t>
            </w:r>
          </w:p>
        </w:tc>
        <w:tc>
          <w:tcPr>
            <w:tcW w:w="1454" w:type="dxa"/>
            <w:tcBorders>
              <w:top w:val="outset" w:sz="6" w:space="0" w:color="000000"/>
              <w:left w:val="outset" w:sz="6" w:space="0" w:color="000000"/>
              <w:bottom w:val="outset" w:sz="6" w:space="0" w:color="000000"/>
              <w:right w:val="outset" w:sz="6" w:space="0" w:color="000000"/>
            </w:tcBorders>
            <w:vAlign w:val="center"/>
          </w:tcPr>
          <w:p w14:paraId="37B786D7"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16BCC43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450</w:t>
            </w:r>
          </w:p>
        </w:tc>
        <w:tc>
          <w:tcPr>
            <w:tcW w:w="1206" w:type="dxa"/>
            <w:tcBorders>
              <w:top w:val="outset" w:sz="6" w:space="0" w:color="000000"/>
              <w:left w:val="outset" w:sz="6" w:space="0" w:color="000000"/>
              <w:bottom w:val="outset" w:sz="6" w:space="0" w:color="000000"/>
              <w:right w:val="outset" w:sz="6" w:space="0" w:color="000000"/>
            </w:tcBorders>
            <w:vAlign w:val="center"/>
          </w:tcPr>
          <w:p w14:paraId="62C0513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450</w:t>
            </w:r>
          </w:p>
        </w:tc>
        <w:tc>
          <w:tcPr>
            <w:tcW w:w="2404" w:type="dxa"/>
            <w:tcBorders>
              <w:top w:val="outset" w:sz="6" w:space="0" w:color="000000"/>
              <w:left w:val="outset" w:sz="6" w:space="0" w:color="000000"/>
              <w:bottom w:val="outset" w:sz="6" w:space="0" w:color="000000"/>
              <w:right w:val="outset" w:sz="6" w:space="0" w:color="000000"/>
            </w:tcBorders>
            <w:vAlign w:val="center"/>
          </w:tcPr>
          <w:p w14:paraId="06F87FA7"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6D1644F0"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42B7554D"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山西</w:t>
            </w:r>
          </w:p>
        </w:tc>
        <w:tc>
          <w:tcPr>
            <w:tcW w:w="1454" w:type="dxa"/>
            <w:tcBorders>
              <w:top w:val="outset" w:sz="6" w:space="0" w:color="000000"/>
              <w:left w:val="outset" w:sz="6" w:space="0" w:color="000000"/>
              <w:bottom w:val="outset" w:sz="6" w:space="0" w:color="000000"/>
              <w:right w:val="outset" w:sz="6" w:space="0" w:color="000000"/>
            </w:tcBorders>
            <w:vAlign w:val="center"/>
          </w:tcPr>
          <w:p w14:paraId="0E5045B7"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388F2FA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480</w:t>
            </w:r>
          </w:p>
        </w:tc>
        <w:tc>
          <w:tcPr>
            <w:tcW w:w="1206" w:type="dxa"/>
            <w:tcBorders>
              <w:top w:val="outset" w:sz="6" w:space="0" w:color="000000"/>
              <w:left w:val="outset" w:sz="6" w:space="0" w:color="000000"/>
              <w:bottom w:val="outset" w:sz="6" w:space="0" w:color="000000"/>
              <w:right w:val="outset" w:sz="6" w:space="0" w:color="000000"/>
            </w:tcBorders>
            <w:vAlign w:val="center"/>
          </w:tcPr>
          <w:p w14:paraId="68251AD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7284D61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1DD31A5F"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0A5F8C86"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内蒙古</w:t>
            </w:r>
          </w:p>
        </w:tc>
        <w:tc>
          <w:tcPr>
            <w:tcW w:w="1454" w:type="dxa"/>
            <w:tcBorders>
              <w:top w:val="outset" w:sz="6" w:space="0" w:color="000000"/>
              <w:left w:val="outset" w:sz="6" w:space="0" w:color="000000"/>
              <w:bottom w:val="outset" w:sz="6" w:space="0" w:color="000000"/>
              <w:right w:val="outset" w:sz="6" w:space="0" w:color="000000"/>
            </w:tcBorders>
            <w:vAlign w:val="center"/>
          </w:tcPr>
          <w:p w14:paraId="0E9EA25C"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76C7674E"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460</w:t>
            </w:r>
          </w:p>
        </w:tc>
        <w:tc>
          <w:tcPr>
            <w:tcW w:w="1206" w:type="dxa"/>
            <w:tcBorders>
              <w:top w:val="outset" w:sz="6" w:space="0" w:color="000000"/>
              <w:left w:val="outset" w:sz="6" w:space="0" w:color="000000"/>
              <w:bottom w:val="outset" w:sz="6" w:space="0" w:color="000000"/>
              <w:right w:val="outset" w:sz="6" w:space="0" w:color="000000"/>
            </w:tcBorders>
            <w:vAlign w:val="center"/>
          </w:tcPr>
          <w:p w14:paraId="5AD30AE7"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6D562B9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1F85EC05"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46A7722C"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辽宁</w:t>
            </w:r>
          </w:p>
        </w:tc>
        <w:tc>
          <w:tcPr>
            <w:tcW w:w="1454" w:type="dxa"/>
            <w:tcBorders>
              <w:top w:val="outset" w:sz="6" w:space="0" w:color="000000"/>
              <w:left w:val="outset" w:sz="6" w:space="0" w:color="000000"/>
              <w:bottom w:val="outset" w:sz="6" w:space="0" w:color="000000"/>
              <w:right w:val="outset" w:sz="6" w:space="0" w:color="000000"/>
            </w:tcBorders>
            <w:vAlign w:val="center"/>
          </w:tcPr>
          <w:p w14:paraId="20D3DCA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7AC49DE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480</w:t>
            </w:r>
          </w:p>
        </w:tc>
        <w:tc>
          <w:tcPr>
            <w:tcW w:w="1206" w:type="dxa"/>
            <w:tcBorders>
              <w:top w:val="outset" w:sz="6" w:space="0" w:color="000000"/>
              <w:left w:val="outset" w:sz="6" w:space="0" w:color="000000"/>
              <w:bottom w:val="outset" w:sz="6" w:space="0" w:color="000000"/>
              <w:right w:val="outset" w:sz="6" w:space="0" w:color="000000"/>
            </w:tcBorders>
            <w:vAlign w:val="center"/>
          </w:tcPr>
          <w:p w14:paraId="63EA795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353DD0F4"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76AE9072"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6FBC4B50"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大连</w:t>
            </w:r>
          </w:p>
        </w:tc>
        <w:tc>
          <w:tcPr>
            <w:tcW w:w="1454" w:type="dxa"/>
            <w:tcBorders>
              <w:top w:val="outset" w:sz="6" w:space="0" w:color="000000"/>
              <w:left w:val="outset" w:sz="6" w:space="0" w:color="000000"/>
              <w:bottom w:val="outset" w:sz="6" w:space="0" w:color="000000"/>
              <w:right w:val="outset" w:sz="6" w:space="0" w:color="000000"/>
            </w:tcBorders>
            <w:vAlign w:val="center"/>
          </w:tcPr>
          <w:p w14:paraId="25A2318D"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5A53C0DE"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490</w:t>
            </w:r>
          </w:p>
        </w:tc>
        <w:tc>
          <w:tcPr>
            <w:tcW w:w="1206" w:type="dxa"/>
            <w:tcBorders>
              <w:top w:val="outset" w:sz="6" w:space="0" w:color="000000"/>
              <w:left w:val="outset" w:sz="6" w:space="0" w:color="000000"/>
              <w:bottom w:val="outset" w:sz="6" w:space="0" w:color="000000"/>
              <w:right w:val="outset" w:sz="6" w:space="0" w:color="000000"/>
            </w:tcBorders>
            <w:vAlign w:val="center"/>
          </w:tcPr>
          <w:p w14:paraId="5A1AEBE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55D8BBE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50B4AE38"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21E85057"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吉林</w:t>
            </w:r>
          </w:p>
        </w:tc>
        <w:tc>
          <w:tcPr>
            <w:tcW w:w="1454" w:type="dxa"/>
            <w:tcBorders>
              <w:top w:val="outset" w:sz="6" w:space="0" w:color="000000"/>
              <w:left w:val="outset" w:sz="6" w:space="0" w:color="000000"/>
              <w:bottom w:val="outset" w:sz="6" w:space="0" w:color="000000"/>
              <w:right w:val="outset" w:sz="6" w:space="0" w:color="000000"/>
            </w:tcBorders>
            <w:vAlign w:val="center"/>
          </w:tcPr>
          <w:p w14:paraId="685ED4D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191962DB"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450</w:t>
            </w:r>
          </w:p>
        </w:tc>
        <w:tc>
          <w:tcPr>
            <w:tcW w:w="1206" w:type="dxa"/>
            <w:tcBorders>
              <w:top w:val="outset" w:sz="6" w:space="0" w:color="000000"/>
              <w:left w:val="outset" w:sz="6" w:space="0" w:color="000000"/>
              <w:bottom w:val="outset" w:sz="6" w:space="0" w:color="000000"/>
              <w:right w:val="outset" w:sz="6" w:space="0" w:color="000000"/>
            </w:tcBorders>
            <w:vAlign w:val="center"/>
          </w:tcPr>
          <w:p w14:paraId="7DF217FD"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4B8F3A19"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5C848016"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3E8C6BB7"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黑龙江</w:t>
            </w:r>
          </w:p>
        </w:tc>
        <w:tc>
          <w:tcPr>
            <w:tcW w:w="1454" w:type="dxa"/>
            <w:tcBorders>
              <w:top w:val="outset" w:sz="6" w:space="0" w:color="000000"/>
              <w:left w:val="outset" w:sz="6" w:space="0" w:color="000000"/>
              <w:bottom w:val="outset" w:sz="6" w:space="0" w:color="000000"/>
              <w:right w:val="outset" w:sz="6" w:space="0" w:color="000000"/>
            </w:tcBorders>
            <w:vAlign w:val="center"/>
          </w:tcPr>
          <w:p w14:paraId="2C0D2F5D"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10DEBB22"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450</w:t>
            </w:r>
          </w:p>
        </w:tc>
        <w:tc>
          <w:tcPr>
            <w:tcW w:w="1206" w:type="dxa"/>
            <w:tcBorders>
              <w:top w:val="outset" w:sz="6" w:space="0" w:color="000000"/>
              <w:left w:val="outset" w:sz="6" w:space="0" w:color="000000"/>
              <w:bottom w:val="outset" w:sz="6" w:space="0" w:color="000000"/>
              <w:right w:val="outset" w:sz="6" w:space="0" w:color="000000"/>
            </w:tcBorders>
            <w:vAlign w:val="center"/>
          </w:tcPr>
          <w:p w14:paraId="4BBDD19B"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4C1F015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3405064B"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6232BF61"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上海</w:t>
            </w:r>
          </w:p>
        </w:tc>
        <w:tc>
          <w:tcPr>
            <w:tcW w:w="1454" w:type="dxa"/>
            <w:tcBorders>
              <w:top w:val="outset" w:sz="6" w:space="0" w:color="000000"/>
              <w:left w:val="outset" w:sz="6" w:space="0" w:color="000000"/>
              <w:bottom w:val="outset" w:sz="6" w:space="0" w:color="000000"/>
              <w:right w:val="outset" w:sz="6" w:space="0" w:color="000000"/>
            </w:tcBorders>
            <w:vAlign w:val="center"/>
          </w:tcPr>
          <w:p w14:paraId="4FE4E1F3"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1ABD0ED5"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500</w:t>
            </w:r>
          </w:p>
        </w:tc>
        <w:tc>
          <w:tcPr>
            <w:tcW w:w="1206" w:type="dxa"/>
            <w:tcBorders>
              <w:top w:val="outset" w:sz="6" w:space="0" w:color="000000"/>
              <w:left w:val="outset" w:sz="6" w:space="0" w:color="000000"/>
              <w:bottom w:val="outset" w:sz="6" w:space="0" w:color="000000"/>
              <w:right w:val="outset" w:sz="6" w:space="0" w:color="000000"/>
            </w:tcBorders>
            <w:vAlign w:val="center"/>
          </w:tcPr>
          <w:p w14:paraId="61EEB5E7"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450</w:t>
            </w:r>
          </w:p>
        </w:tc>
        <w:tc>
          <w:tcPr>
            <w:tcW w:w="2404" w:type="dxa"/>
            <w:tcBorders>
              <w:top w:val="outset" w:sz="6" w:space="0" w:color="000000"/>
              <w:left w:val="outset" w:sz="6" w:space="0" w:color="000000"/>
              <w:bottom w:val="outset" w:sz="6" w:space="0" w:color="000000"/>
              <w:right w:val="outset" w:sz="6" w:space="0" w:color="000000"/>
            </w:tcBorders>
            <w:vAlign w:val="center"/>
          </w:tcPr>
          <w:p w14:paraId="1DC5456C"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27FADB53"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3FCF3EB7"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江苏</w:t>
            </w:r>
          </w:p>
        </w:tc>
        <w:tc>
          <w:tcPr>
            <w:tcW w:w="1454" w:type="dxa"/>
            <w:tcBorders>
              <w:top w:val="outset" w:sz="6" w:space="0" w:color="000000"/>
              <w:left w:val="outset" w:sz="6" w:space="0" w:color="000000"/>
              <w:bottom w:val="outset" w:sz="6" w:space="0" w:color="000000"/>
              <w:right w:val="outset" w:sz="6" w:space="0" w:color="000000"/>
            </w:tcBorders>
            <w:vAlign w:val="center"/>
          </w:tcPr>
          <w:p w14:paraId="0CA5D9A9"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519BE071"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490</w:t>
            </w:r>
          </w:p>
        </w:tc>
        <w:tc>
          <w:tcPr>
            <w:tcW w:w="1206" w:type="dxa"/>
            <w:tcBorders>
              <w:top w:val="outset" w:sz="6" w:space="0" w:color="000000"/>
              <w:left w:val="outset" w:sz="6" w:space="0" w:color="000000"/>
              <w:bottom w:val="outset" w:sz="6" w:space="0" w:color="000000"/>
              <w:right w:val="outset" w:sz="6" w:space="0" w:color="000000"/>
            </w:tcBorders>
            <w:vAlign w:val="center"/>
          </w:tcPr>
          <w:p w14:paraId="63FE23CB"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450</w:t>
            </w:r>
          </w:p>
        </w:tc>
        <w:tc>
          <w:tcPr>
            <w:tcW w:w="2404" w:type="dxa"/>
            <w:tcBorders>
              <w:top w:val="outset" w:sz="6" w:space="0" w:color="000000"/>
              <w:left w:val="outset" w:sz="6" w:space="0" w:color="000000"/>
              <w:bottom w:val="outset" w:sz="6" w:space="0" w:color="000000"/>
              <w:right w:val="outset" w:sz="6" w:space="0" w:color="000000"/>
            </w:tcBorders>
            <w:vAlign w:val="center"/>
          </w:tcPr>
          <w:p w14:paraId="27B00D4C"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1DF9D191"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5DBCDA43"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浙江</w:t>
            </w:r>
          </w:p>
        </w:tc>
        <w:tc>
          <w:tcPr>
            <w:tcW w:w="1454" w:type="dxa"/>
            <w:tcBorders>
              <w:top w:val="outset" w:sz="6" w:space="0" w:color="000000"/>
              <w:left w:val="outset" w:sz="6" w:space="0" w:color="000000"/>
              <w:bottom w:val="outset" w:sz="6" w:space="0" w:color="000000"/>
              <w:right w:val="outset" w:sz="6" w:space="0" w:color="000000"/>
            </w:tcBorders>
            <w:vAlign w:val="center"/>
          </w:tcPr>
          <w:p w14:paraId="310E37B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097D7A73"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490</w:t>
            </w:r>
          </w:p>
        </w:tc>
        <w:tc>
          <w:tcPr>
            <w:tcW w:w="1206" w:type="dxa"/>
            <w:tcBorders>
              <w:top w:val="outset" w:sz="6" w:space="0" w:color="000000"/>
              <w:left w:val="outset" w:sz="6" w:space="0" w:color="000000"/>
              <w:bottom w:val="outset" w:sz="6" w:space="0" w:color="000000"/>
              <w:right w:val="outset" w:sz="6" w:space="0" w:color="000000"/>
            </w:tcBorders>
            <w:vAlign w:val="center"/>
          </w:tcPr>
          <w:p w14:paraId="2DCF3C02"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023DF55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62CC80A0"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13E95BAE"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宁波</w:t>
            </w:r>
          </w:p>
        </w:tc>
        <w:tc>
          <w:tcPr>
            <w:tcW w:w="1454" w:type="dxa"/>
            <w:tcBorders>
              <w:top w:val="outset" w:sz="6" w:space="0" w:color="000000"/>
              <w:left w:val="outset" w:sz="6" w:space="0" w:color="000000"/>
              <w:bottom w:val="outset" w:sz="6" w:space="0" w:color="000000"/>
              <w:right w:val="outset" w:sz="6" w:space="0" w:color="000000"/>
            </w:tcBorders>
            <w:vAlign w:val="center"/>
          </w:tcPr>
          <w:p w14:paraId="7A6EEEE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0CD1470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450</w:t>
            </w:r>
          </w:p>
        </w:tc>
        <w:tc>
          <w:tcPr>
            <w:tcW w:w="1206" w:type="dxa"/>
            <w:tcBorders>
              <w:top w:val="outset" w:sz="6" w:space="0" w:color="000000"/>
              <w:left w:val="outset" w:sz="6" w:space="0" w:color="000000"/>
              <w:bottom w:val="outset" w:sz="6" w:space="0" w:color="000000"/>
              <w:right w:val="outset" w:sz="6" w:space="0" w:color="000000"/>
            </w:tcBorders>
            <w:vAlign w:val="center"/>
          </w:tcPr>
          <w:p w14:paraId="539EA94A"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08D15C3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08F0E4AD"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5A6F6C9D"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安徽</w:t>
            </w:r>
          </w:p>
        </w:tc>
        <w:tc>
          <w:tcPr>
            <w:tcW w:w="1454" w:type="dxa"/>
            <w:tcBorders>
              <w:top w:val="outset" w:sz="6" w:space="0" w:color="000000"/>
              <w:left w:val="outset" w:sz="6" w:space="0" w:color="000000"/>
              <w:bottom w:val="outset" w:sz="6" w:space="0" w:color="000000"/>
              <w:right w:val="outset" w:sz="6" w:space="0" w:color="000000"/>
            </w:tcBorders>
            <w:vAlign w:val="center"/>
          </w:tcPr>
          <w:p w14:paraId="7FA6B1DA"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3901EAD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460</w:t>
            </w:r>
          </w:p>
        </w:tc>
        <w:tc>
          <w:tcPr>
            <w:tcW w:w="1206" w:type="dxa"/>
            <w:tcBorders>
              <w:top w:val="outset" w:sz="6" w:space="0" w:color="000000"/>
              <w:left w:val="outset" w:sz="6" w:space="0" w:color="000000"/>
              <w:bottom w:val="outset" w:sz="6" w:space="0" w:color="000000"/>
              <w:right w:val="outset" w:sz="6" w:space="0" w:color="000000"/>
            </w:tcBorders>
            <w:vAlign w:val="center"/>
          </w:tcPr>
          <w:p w14:paraId="199AEA49"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671AC47D"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34C56807"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1C817E97"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福建</w:t>
            </w:r>
          </w:p>
        </w:tc>
        <w:tc>
          <w:tcPr>
            <w:tcW w:w="1454" w:type="dxa"/>
            <w:tcBorders>
              <w:top w:val="outset" w:sz="6" w:space="0" w:color="000000"/>
              <w:left w:val="outset" w:sz="6" w:space="0" w:color="000000"/>
              <w:bottom w:val="outset" w:sz="6" w:space="0" w:color="000000"/>
              <w:right w:val="outset" w:sz="6" w:space="0" w:color="000000"/>
            </w:tcBorders>
            <w:vAlign w:val="center"/>
          </w:tcPr>
          <w:p w14:paraId="2EE2341C"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36F5D410"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480</w:t>
            </w:r>
          </w:p>
        </w:tc>
        <w:tc>
          <w:tcPr>
            <w:tcW w:w="1206" w:type="dxa"/>
            <w:tcBorders>
              <w:top w:val="outset" w:sz="6" w:space="0" w:color="000000"/>
              <w:left w:val="outset" w:sz="6" w:space="0" w:color="000000"/>
              <w:bottom w:val="outset" w:sz="6" w:space="0" w:color="000000"/>
              <w:right w:val="outset" w:sz="6" w:space="0" w:color="000000"/>
            </w:tcBorders>
            <w:vAlign w:val="center"/>
          </w:tcPr>
          <w:p w14:paraId="0FD54501"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03C4ED04"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48D660D0"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1434A984"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厦门</w:t>
            </w:r>
          </w:p>
        </w:tc>
        <w:tc>
          <w:tcPr>
            <w:tcW w:w="1454" w:type="dxa"/>
            <w:tcBorders>
              <w:top w:val="outset" w:sz="6" w:space="0" w:color="000000"/>
              <w:left w:val="outset" w:sz="6" w:space="0" w:color="000000"/>
              <w:bottom w:val="outset" w:sz="6" w:space="0" w:color="000000"/>
              <w:right w:val="outset" w:sz="6" w:space="0" w:color="000000"/>
            </w:tcBorders>
            <w:vAlign w:val="center"/>
          </w:tcPr>
          <w:p w14:paraId="4357DFAE"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1D2CEEEE"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490</w:t>
            </w:r>
          </w:p>
        </w:tc>
        <w:tc>
          <w:tcPr>
            <w:tcW w:w="1206" w:type="dxa"/>
            <w:tcBorders>
              <w:top w:val="outset" w:sz="6" w:space="0" w:color="000000"/>
              <w:left w:val="outset" w:sz="6" w:space="0" w:color="000000"/>
              <w:bottom w:val="outset" w:sz="6" w:space="0" w:color="000000"/>
              <w:right w:val="outset" w:sz="6" w:space="0" w:color="000000"/>
            </w:tcBorders>
            <w:vAlign w:val="center"/>
          </w:tcPr>
          <w:p w14:paraId="5FD6D655"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450</w:t>
            </w:r>
          </w:p>
        </w:tc>
        <w:tc>
          <w:tcPr>
            <w:tcW w:w="2404" w:type="dxa"/>
            <w:tcBorders>
              <w:top w:val="outset" w:sz="6" w:space="0" w:color="000000"/>
              <w:left w:val="outset" w:sz="6" w:space="0" w:color="000000"/>
              <w:bottom w:val="outset" w:sz="6" w:space="0" w:color="000000"/>
              <w:right w:val="outset" w:sz="6" w:space="0" w:color="000000"/>
            </w:tcBorders>
            <w:vAlign w:val="center"/>
          </w:tcPr>
          <w:p w14:paraId="4FE96BB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410547E4"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634CE5C6"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江西</w:t>
            </w:r>
          </w:p>
        </w:tc>
        <w:tc>
          <w:tcPr>
            <w:tcW w:w="1454" w:type="dxa"/>
            <w:tcBorders>
              <w:top w:val="outset" w:sz="6" w:space="0" w:color="000000"/>
              <w:left w:val="outset" w:sz="6" w:space="0" w:color="000000"/>
              <w:bottom w:val="outset" w:sz="6" w:space="0" w:color="000000"/>
              <w:right w:val="outset" w:sz="6" w:space="0" w:color="000000"/>
            </w:tcBorders>
            <w:vAlign w:val="center"/>
          </w:tcPr>
          <w:p w14:paraId="1817D172"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64CAC732"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470</w:t>
            </w:r>
          </w:p>
        </w:tc>
        <w:tc>
          <w:tcPr>
            <w:tcW w:w="1206" w:type="dxa"/>
            <w:tcBorders>
              <w:top w:val="outset" w:sz="6" w:space="0" w:color="000000"/>
              <w:left w:val="outset" w:sz="6" w:space="0" w:color="000000"/>
              <w:bottom w:val="outset" w:sz="6" w:space="0" w:color="000000"/>
              <w:right w:val="outset" w:sz="6" w:space="0" w:color="000000"/>
            </w:tcBorders>
            <w:vAlign w:val="center"/>
          </w:tcPr>
          <w:p w14:paraId="5248BFA0"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4BEC3DA2"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5AB0C2FF"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02A3E015"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山东</w:t>
            </w:r>
          </w:p>
        </w:tc>
        <w:tc>
          <w:tcPr>
            <w:tcW w:w="1454" w:type="dxa"/>
            <w:tcBorders>
              <w:top w:val="outset" w:sz="6" w:space="0" w:color="000000"/>
              <w:left w:val="outset" w:sz="6" w:space="0" w:color="000000"/>
              <w:bottom w:val="outset" w:sz="6" w:space="0" w:color="000000"/>
              <w:right w:val="outset" w:sz="6" w:space="0" w:color="000000"/>
            </w:tcBorders>
            <w:vAlign w:val="center"/>
          </w:tcPr>
          <w:p w14:paraId="63D8287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76956F31"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480</w:t>
            </w:r>
          </w:p>
        </w:tc>
        <w:tc>
          <w:tcPr>
            <w:tcW w:w="1206" w:type="dxa"/>
            <w:tcBorders>
              <w:top w:val="outset" w:sz="6" w:space="0" w:color="000000"/>
              <w:left w:val="outset" w:sz="6" w:space="0" w:color="000000"/>
              <w:bottom w:val="outset" w:sz="6" w:space="0" w:color="000000"/>
              <w:right w:val="outset" w:sz="6" w:space="0" w:color="000000"/>
            </w:tcBorders>
            <w:vAlign w:val="center"/>
          </w:tcPr>
          <w:p w14:paraId="5DD79559"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32895C90"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1294D612"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4A35A3CD"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lastRenderedPageBreak/>
              <w:t>青岛</w:t>
            </w:r>
          </w:p>
        </w:tc>
        <w:tc>
          <w:tcPr>
            <w:tcW w:w="1454" w:type="dxa"/>
            <w:tcBorders>
              <w:top w:val="outset" w:sz="6" w:space="0" w:color="000000"/>
              <w:left w:val="outset" w:sz="6" w:space="0" w:color="000000"/>
              <w:bottom w:val="outset" w:sz="6" w:space="0" w:color="000000"/>
              <w:right w:val="outset" w:sz="6" w:space="0" w:color="000000"/>
            </w:tcBorders>
            <w:vAlign w:val="center"/>
          </w:tcPr>
          <w:p w14:paraId="06D9D049"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6D1827B4"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490</w:t>
            </w:r>
          </w:p>
        </w:tc>
        <w:tc>
          <w:tcPr>
            <w:tcW w:w="1206" w:type="dxa"/>
            <w:tcBorders>
              <w:top w:val="outset" w:sz="6" w:space="0" w:color="000000"/>
              <w:left w:val="outset" w:sz="6" w:space="0" w:color="000000"/>
              <w:bottom w:val="outset" w:sz="6" w:space="0" w:color="000000"/>
              <w:right w:val="outset" w:sz="6" w:space="0" w:color="000000"/>
            </w:tcBorders>
            <w:vAlign w:val="center"/>
          </w:tcPr>
          <w:p w14:paraId="52B82484"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7D5DCD2B"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08B9A24A"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72E5364B"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河南</w:t>
            </w:r>
          </w:p>
        </w:tc>
        <w:tc>
          <w:tcPr>
            <w:tcW w:w="1454" w:type="dxa"/>
            <w:tcBorders>
              <w:top w:val="outset" w:sz="6" w:space="0" w:color="000000"/>
              <w:left w:val="outset" w:sz="6" w:space="0" w:color="000000"/>
              <w:bottom w:val="outset" w:sz="6" w:space="0" w:color="000000"/>
              <w:right w:val="outset" w:sz="6" w:space="0" w:color="000000"/>
            </w:tcBorders>
            <w:vAlign w:val="center"/>
          </w:tcPr>
          <w:p w14:paraId="5E60DF91"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456DB57C"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480</w:t>
            </w:r>
          </w:p>
        </w:tc>
        <w:tc>
          <w:tcPr>
            <w:tcW w:w="1206" w:type="dxa"/>
            <w:tcBorders>
              <w:top w:val="outset" w:sz="6" w:space="0" w:color="000000"/>
              <w:left w:val="outset" w:sz="6" w:space="0" w:color="000000"/>
              <w:bottom w:val="outset" w:sz="6" w:space="0" w:color="000000"/>
              <w:right w:val="outset" w:sz="6" w:space="0" w:color="000000"/>
            </w:tcBorders>
            <w:vAlign w:val="center"/>
          </w:tcPr>
          <w:p w14:paraId="1CD840E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2F3E6BC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37B32E4B"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5493A110"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湖北</w:t>
            </w:r>
          </w:p>
        </w:tc>
        <w:tc>
          <w:tcPr>
            <w:tcW w:w="1454" w:type="dxa"/>
            <w:tcBorders>
              <w:top w:val="outset" w:sz="6" w:space="0" w:color="000000"/>
              <w:left w:val="outset" w:sz="6" w:space="0" w:color="000000"/>
              <w:bottom w:val="outset" w:sz="6" w:space="0" w:color="000000"/>
              <w:right w:val="outset" w:sz="6" w:space="0" w:color="000000"/>
            </w:tcBorders>
            <w:vAlign w:val="center"/>
          </w:tcPr>
          <w:p w14:paraId="3E96B4C9"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36A251EB"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480</w:t>
            </w:r>
          </w:p>
        </w:tc>
        <w:tc>
          <w:tcPr>
            <w:tcW w:w="1206" w:type="dxa"/>
            <w:tcBorders>
              <w:top w:val="outset" w:sz="6" w:space="0" w:color="000000"/>
              <w:left w:val="outset" w:sz="6" w:space="0" w:color="000000"/>
              <w:bottom w:val="outset" w:sz="6" w:space="0" w:color="000000"/>
              <w:right w:val="outset" w:sz="6" w:space="0" w:color="000000"/>
            </w:tcBorders>
            <w:vAlign w:val="center"/>
          </w:tcPr>
          <w:p w14:paraId="0C2D887B"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49D97D92"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6DA1AEAF"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7003CE6E"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湖南</w:t>
            </w:r>
          </w:p>
        </w:tc>
        <w:tc>
          <w:tcPr>
            <w:tcW w:w="1454" w:type="dxa"/>
            <w:tcBorders>
              <w:top w:val="outset" w:sz="6" w:space="0" w:color="000000"/>
              <w:left w:val="outset" w:sz="6" w:space="0" w:color="000000"/>
              <w:bottom w:val="outset" w:sz="6" w:space="0" w:color="000000"/>
              <w:right w:val="outset" w:sz="6" w:space="0" w:color="000000"/>
            </w:tcBorders>
            <w:vAlign w:val="center"/>
          </w:tcPr>
          <w:p w14:paraId="5D13545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4997432E"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450</w:t>
            </w:r>
          </w:p>
        </w:tc>
        <w:tc>
          <w:tcPr>
            <w:tcW w:w="1206" w:type="dxa"/>
            <w:tcBorders>
              <w:top w:val="outset" w:sz="6" w:space="0" w:color="000000"/>
              <w:left w:val="outset" w:sz="6" w:space="0" w:color="000000"/>
              <w:bottom w:val="outset" w:sz="6" w:space="0" w:color="000000"/>
              <w:right w:val="outset" w:sz="6" w:space="0" w:color="000000"/>
            </w:tcBorders>
            <w:vAlign w:val="center"/>
          </w:tcPr>
          <w:p w14:paraId="4AF910AE"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5001BC4D"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2A3C18D1"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6EB7722C"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广东</w:t>
            </w:r>
          </w:p>
        </w:tc>
        <w:tc>
          <w:tcPr>
            <w:tcW w:w="1454" w:type="dxa"/>
            <w:tcBorders>
              <w:top w:val="outset" w:sz="6" w:space="0" w:color="000000"/>
              <w:left w:val="outset" w:sz="6" w:space="0" w:color="000000"/>
              <w:bottom w:val="outset" w:sz="6" w:space="0" w:color="000000"/>
              <w:right w:val="outset" w:sz="6" w:space="0" w:color="000000"/>
            </w:tcBorders>
            <w:vAlign w:val="center"/>
          </w:tcPr>
          <w:p w14:paraId="0EA3F2E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42AA5791"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490</w:t>
            </w:r>
          </w:p>
        </w:tc>
        <w:tc>
          <w:tcPr>
            <w:tcW w:w="1206" w:type="dxa"/>
            <w:tcBorders>
              <w:top w:val="outset" w:sz="6" w:space="0" w:color="000000"/>
              <w:left w:val="outset" w:sz="6" w:space="0" w:color="000000"/>
              <w:bottom w:val="outset" w:sz="6" w:space="0" w:color="000000"/>
              <w:right w:val="outset" w:sz="6" w:space="0" w:color="000000"/>
            </w:tcBorders>
            <w:vAlign w:val="center"/>
          </w:tcPr>
          <w:p w14:paraId="1BEE32BD"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450</w:t>
            </w:r>
          </w:p>
        </w:tc>
        <w:tc>
          <w:tcPr>
            <w:tcW w:w="2404" w:type="dxa"/>
            <w:tcBorders>
              <w:top w:val="outset" w:sz="6" w:space="0" w:color="000000"/>
              <w:left w:val="outset" w:sz="6" w:space="0" w:color="000000"/>
              <w:bottom w:val="outset" w:sz="6" w:space="0" w:color="000000"/>
              <w:right w:val="outset" w:sz="6" w:space="0" w:color="000000"/>
            </w:tcBorders>
            <w:vAlign w:val="center"/>
          </w:tcPr>
          <w:p w14:paraId="1C1D4711"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7DB309A2"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5E90C1E5"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深圳</w:t>
            </w:r>
          </w:p>
        </w:tc>
        <w:tc>
          <w:tcPr>
            <w:tcW w:w="1454" w:type="dxa"/>
            <w:tcBorders>
              <w:top w:val="outset" w:sz="6" w:space="0" w:color="000000"/>
              <w:left w:val="outset" w:sz="6" w:space="0" w:color="000000"/>
              <w:bottom w:val="outset" w:sz="6" w:space="0" w:color="000000"/>
              <w:right w:val="outset" w:sz="6" w:space="0" w:color="000000"/>
            </w:tcBorders>
            <w:vAlign w:val="center"/>
          </w:tcPr>
          <w:p w14:paraId="726B6254"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1CA81F30"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500</w:t>
            </w:r>
          </w:p>
        </w:tc>
        <w:tc>
          <w:tcPr>
            <w:tcW w:w="1206" w:type="dxa"/>
            <w:tcBorders>
              <w:top w:val="outset" w:sz="6" w:space="0" w:color="000000"/>
              <w:left w:val="outset" w:sz="6" w:space="0" w:color="000000"/>
              <w:bottom w:val="outset" w:sz="6" w:space="0" w:color="000000"/>
              <w:right w:val="outset" w:sz="6" w:space="0" w:color="000000"/>
            </w:tcBorders>
            <w:vAlign w:val="center"/>
          </w:tcPr>
          <w:p w14:paraId="78C132DA"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450</w:t>
            </w:r>
          </w:p>
        </w:tc>
        <w:tc>
          <w:tcPr>
            <w:tcW w:w="2404" w:type="dxa"/>
            <w:tcBorders>
              <w:top w:val="outset" w:sz="6" w:space="0" w:color="000000"/>
              <w:left w:val="outset" w:sz="6" w:space="0" w:color="000000"/>
              <w:bottom w:val="outset" w:sz="6" w:space="0" w:color="000000"/>
              <w:right w:val="outset" w:sz="6" w:space="0" w:color="000000"/>
            </w:tcBorders>
            <w:vAlign w:val="center"/>
          </w:tcPr>
          <w:p w14:paraId="26C8BACD"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01C90BD0"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588590C6"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广西</w:t>
            </w:r>
          </w:p>
        </w:tc>
        <w:tc>
          <w:tcPr>
            <w:tcW w:w="1454" w:type="dxa"/>
            <w:tcBorders>
              <w:top w:val="outset" w:sz="6" w:space="0" w:color="000000"/>
              <w:left w:val="outset" w:sz="6" w:space="0" w:color="000000"/>
              <w:bottom w:val="outset" w:sz="6" w:space="0" w:color="000000"/>
              <w:right w:val="outset" w:sz="6" w:space="0" w:color="000000"/>
            </w:tcBorders>
            <w:vAlign w:val="center"/>
          </w:tcPr>
          <w:p w14:paraId="170FDEC3"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56E1A8B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470</w:t>
            </w:r>
          </w:p>
        </w:tc>
        <w:tc>
          <w:tcPr>
            <w:tcW w:w="1206" w:type="dxa"/>
            <w:tcBorders>
              <w:top w:val="outset" w:sz="6" w:space="0" w:color="000000"/>
              <w:left w:val="outset" w:sz="6" w:space="0" w:color="000000"/>
              <w:bottom w:val="outset" w:sz="6" w:space="0" w:color="000000"/>
              <w:right w:val="outset" w:sz="6" w:space="0" w:color="000000"/>
            </w:tcBorders>
            <w:vAlign w:val="center"/>
          </w:tcPr>
          <w:p w14:paraId="2A12786E"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21A2E8C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6E99DE9F"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18D6E529"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海南</w:t>
            </w:r>
          </w:p>
        </w:tc>
        <w:tc>
          <w:tcPr>
            <w:tcW w:w="1454" w:type="dxa"/>
            <w:tcBorders>
              <w:top w:val="outset" w:sz="6" w:space="0" w:color="000000"/>
              <w:left w:val="outset" w:sz="6" w:space="0" w:color="000000"/>
              <w:bottom w:val="outset" w:sz="6" w:space="0" w:color="000000"/>
              <w:right w:val="outset" w:sz="6" w:space="0" w:color="000000"/>
            </w:tcBorders>
            <w:vAlign w:val="center"/>
          </w:tcPr>
          <w:p w14:paraId="07220B0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400DA757"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500</w:t>
            </w:r>
          </w:p>
        </w:tc>
        <w:tc>
          <w:tcPr>
            <w:tcW w:w="1206" w:type="dxa"/>
            <w:tcBorders>
              <w:top w:val="outset" w:sz="6" w:space="0" w:color="000000"/>
              <w:left w:val="outset" w:sz="6" w:space="0" w:color="000000"/>
              <w:bottom w:val="outset" w:sz="6" w:space="0" w:color="000000"/>
              <w:right w:val="outset" w:sz="6" w:space="0" w:color="000000"/>
            </w:tcBorders>
            <w:vAlign w:val="center"/>
          </w:tcPr>
          <w:p w14:paraId="66D99D5A"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450</w:t>
            </w:r>
          </w:p>
        </w:tc>
        <w:tc>
          <w:tcPr>
            <w:tcW w:w="2404" w:type="dxa"/>
            <w:tcBorders>
              <w:top w:val="outset" w:sz="6" w:space="0" w:color="000000"/>
              <w:left w:val="outset" w:sz="6" w:space="0" w:color="000000"/>
              <w:bottom w:val="outset" w:sz="6" w:space="0" w:color="000000"/>
              <w:right w:val="outset" w:sz="6" w:space="0" w:color="000000"/>
            </w:tcBorders>
            <w:vAlign w:val="center"/>
          </w:tcPr>
          <w:p w14:paraId="4576835A"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5413D730"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1FFE6C2E"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重庆</w:t>
            </w:r>
          </w:p>
        </w:tc>
        <w:tc>
          <w:tcPr>
            <w:tcW w:w="1454" w:type="dxa"/>
            <w:tcBorders>
              <w:top w:val="outset" w:sz="6" w:space="0" w:color="000000"/>
              <w:left w:val="outset" w:sz="6" w:space="0" w:color="000000"/>
              <w:bottom w:val="outset" w:sz="6" w:space="0" w:color="000000"/>
              <w:right w:val="outset" w:sz="6" w:space="0" w:color="000000"/>
            </w:tcBorders>
            <w:vAlign w:val="center"/>
          </w:tcPr>
          <w:p w14:paraId="7E88E245"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645D6ECB"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480</w:t>
            </w:r>
          </w:p>
        </w:tc>
        <w:tc>
          <w:tcPr>
            <w:tcW w:w="1206" w:type="dxa"/>
            <w:tcBorders>
              <w:top w:val="outset" w:sz="6" w:space="0" w:color="000000"/>
              <w:left w:val="outset" w:sz="6" w:space="0" w:color="000000"/>
              <w:bottom w:val="outset" w:sz="6" w:space="0" w:color="000000"/>
              <w:right w:val="outset" w:sz="6" w:space="0" w:color="000000"/>
            </w:tcBorders>
            <w:vAlign w:val="center"/>
          </w:tcPr>
          <w:p w14:paraId="6F705A27"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443F866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61476B87"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18332801"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四川</w:t>
            </w:r>
          </w:p>
        </w:tc>
        <w:tc>
          <w:tcPr>
            <w:tcW w:w="1454" w:type="dxa"/>
            <w:tcBorders>
              <w:top w:val="outset" w:sz="6" w:space="0" w:color="000000"/>
              <w:left w:val="outset" w:sz="6" w:space="0" w:color="000000"/>
              <w:bottom w:val="outset" w:sz="6" w:space="0" w:color="000000"/>
              <w:right w:val="outset" w:sz="6" w:space="0" w:color="000000"/>
            </w:tcBorders>
            <w:vAlign w:val="center"/>
          </w:tcPr>
          <w:p w14:paraId="7D92607D"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738C891A"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470</w:t>
            </w:r>
          </w:p>
        </w:tc>
        <w:tc>
          <w:tcPr>
            <w:tcW w:w="1206" w:type="dxa"/>
            <w:tcBorders>
              <w:top w:val="outset" w:sz="6" w:space="0" w:color="000000"/>
              <w:left w:val="outset" w:sz="6" w:space="0" w:color="000000"/>
              <w:bottom w:val="outset" w:sz="6" w:space="0" w:color="000000"/>
              <w:right w:val="outset" w:sz="6" w:space="0" w:color="000000"/>
            </w:tcBorders>
            <w:vAlign w:val="center"/>
          </w:tcPr>
          <w:p w14:paraId="7174A7A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2350793A"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1DBF8BDC"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0BF5027F"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贵州</w:t>
            </w:r>
          </w:p>
        </w:tc>
        <w:tc>
          <w:tcPr>
            <w:tcW w:w="1454" w:type="dxa"/>
            <w:tcBorders>
              <w:top w:val="outset" w:sz="6" w:space="0" w:color="000000"/>
              <w:left w:val="outset" w:sz="6" w:space="0" w:color="000000"/>
              <w:bottom w:val="outset" w:sz="6" w:space="0" w:color="000000"/>
              <w:right w:val="outset" w:sz="6" w:space="0" w:color="000000"/>
            </w:tcBorders>
            <w:vAlign w:val="center"/>
          </w:tcPr>
          <w:p w14:paraId="516D7D8E"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70768BF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470</w:t>
            </w:r>
          </w:p>
        </w:tc>
        <w:tc>
          <w:tcPr>
            <w:tcW w:w="1206" w:type="dxa"/>
            <w:tcBorders>
              <w:top w:val="outset" w:sz="6" w:space="0" w:color="000000"/>
              <w:left w:val="outset" w:sz="6" w:space="0" w:color="000000"/>
              <w:bottom w:val="outset" w:sz="6" w:space="0" w:color="000000"/>
              <w:right w:val="outset" w:sz="6" w:space="0" w:color="000000"/>
            </w:tcBorders>
            <w:vAlign w:val="center"/>
          </w:tcPr>
          <w:p w14:paraId="0EE5A68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1B33653D"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3FB716CE"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58654153"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云南</w:t>
            </w:r>
          </w:p>
        </w:tc>
        <w:tc>
          <w:tcPr>
            <w:tcW w:w="1454" w:type="dxa"/>
            <w:tcBorders>
              <w:top w:val="outset" w:sz="6" w:space="0" w:color="000000"/>
              <w:left w:val="outset" w:sz="6" w:space="0" w:color="000000"/>
              <w:bottom w:val="outset" w:sz="6" w:space="0" w:color="000000"/>
              <w:right w:val="outset" w:sz="6" w:space="0" w:color="000000"/>
            </w:tcBorders>
            <w:vAlign w:val="center"/>
          </w:tcPr>
          <w:p w14:paraId="3F87F527"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5DD4B780"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480</w:t>
            </w:r>
          </w:p>
        </w:tc>
        <w:tc>
          <w:tcPr>
            <w:tcW w:w="1206" w:type="dxa"/>
            <w:tcBorders>
              <w:top w:val="outset" w:sz="6" w:space="0" w:color="000000"/>
              <w:left w:val="outset" w:sz="6" w:space="0" w:color="000000"/>
              <w:bottom w:val="outset" w:sz="6" w:space="0" w:color="000000"/>
              <w:right w:val="outset" w:sz="6" w:space="0" w:color="000000"/>
            </w:tcBorders>
            <w:vAlign w:val="center"/>
          </w:tcPr>
          <w:p w14:paraId="44909DA4"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7AFC64E1"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1BF57996"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6DF2BB78"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西藏</w:t>
            </w:r>
          </w:p>
        </w:tc>
        <w:tc>
          <w:tcPr>
            <w:tcW w:w="1454" w:type="dxa"/>
            <w:tcBorders>
              <w:top w:val="outset" w:sz="6" w:space="0" w:color="000000"/>
              <w:left w:val="outset" w:sz="6" w:space="0" w:color="000000"/>
              <w:bottom w:val="outset" w:sz="6" w:space="0" w:color="000000"/>
              <w:right w:val="outset" w:sz="6" w:space="0" w:color="000000"/>
            </w:tcBorders>
            <w:vAlign w:val="center"/>
          </w:tcPr>
          <w:p w14:paraId="140ED43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17F12CDC"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500</w:t>
            </w:r>
          </w:p>
        </w:tc>
        <w:tc>
          <w:tcPr>
            <w:tcW w:w="1206" w:type="dxa"/>
            <w:tcBorders>
              <w:top w:val="outset" w:sz="6" w:space="0" w:color="000000"/>
              <w:left w:val="outset" w:sz="6" w:space="0" w:color="000000"/>
              <w:bottom w:val="outset" w:sz="6" w:space="0" w:color="000000"/>
              <w:right w:val="outset" w:sz="6" w:space="0" w:color="000000"/>
            </w:tcBorders>
            <w:vAlign w:val="center"/>
          </w:tcPr>
          <w:p w14:paraId="1A52C1B3"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73DDB855"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2D192E9D"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334627C4"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陕西</w:t>
            </w:r>
          </w:p>
        </w:tc>
        <w:tc>
          <w:tcPr>
            <w:tcW w:w="1454" w:type="dxa"/>
            <w:tcBorders>
              <w:top w:val="outset" w:sz="6" w:space="0" w:color="000000"/>
              <w:left w:val="outset" w:sz="6" w:space="0" w:color="000000"/>
              <w:bottom w:val="outset" w:sz="6" w:space="0" w:color="000000"/>
              <w:right w:val="outset" w:sz="6" w:space="0" w:color="000000"/>
            </w:tcBorders>
            <w:vAlign w:val="center"/>
          </w:tcPr>
          <w:p w14:paraId="25704D7E"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60599298"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460</w:t>
            </w:r>
          </w:p>
        </w:tc>
        <w:tc>
          <w:tcPr>
            <w:tcW w:w="1206" w:type="dxa"/>
            <w:tcBorders>
              <w:top w:val="outset" w:sz="6" w:space="0" w:color="000000"/>
              <w:left w:val="outset" w:sz="6" w:space="0" w:color="000000"/>
              <w:bottom w:val="outset" w:sz="6" w:space="0" w:color="000000"/>
              <w:right w:val="outset" w:sz="6" w:space="0" w:color="000000"/>
            </w:tcBorders>
            <w:vAlign w:val="center"/>
          </w:tcPr>
          <w:p w14:paraId="6759B76B"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77DE7AC7"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23A7A351"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3A1DFC80"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甘肃</w:t>
            </w:r>
          </w:p>
        </w:tc>
        <w:tc>
          <w:tcPr>
            <w:tcW w:w="1454" w:type="dxa"/>
            <w:tcBorders>
              <w:top w:val="outset" w:sz="6" w:space="0" w:color="000000"/>
              <w:left w:val="outset" w:sz="6" w:space="0" w:color="000000"/>
              <w:bottom w:val="outset" w:sz="6" w:space="0" w:color="000000"/>
              <w:right w:val="outset" w:sz="6" w:space="0" w:color="000000"/>
            </w:tcBorders>
            <w:vAlign w:val="center"/>
          </w:tcPr>
          <w:p w14:paraId="2B6C8E92"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7EA6493B"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470</w:t>
            </w:r>
          </w:p>
        </w:tc>
        <w:tc>
          <w:tcPr>
            <w:tcW w:w="1206" w:type="dxa"/>
            <w:tcBorders>
              <w:top w:val="outset" w:sz="6" w:space="0" w:color="000000"/>
              <w:left w:val="outset" w:sz="6" w:space="0" w:color="000000"/>
              <w:bottom w:val="outset" w:sz="6" w:space="0" w:color="000000"/>
              <w:right w:val="outset" w:sz="6" w:space="0" w:color="000000"/>
            </w:tcBorders>
            <w:vAlign w:val="center"/>
          </w:tcPr>
          <w:p w14:paraId="4C54669A"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5CF0F9AF"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3AA64A37"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71310DC0"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青海</w:t>
            </w:r>
          </w:p>
        </w:tc>
        <w:tc>
          <w:tcPr>
            <w:tcW w:w="1454" w:type="dxa"/>
            <w:tcBorders>
              <w:top w:val="outset" w:sz="6" w:space="0" w:color="000000"/>
              <w:left w:val="outset" w:sz="6" w:space="0" w:color="000000"/>
              <w:bottom w:val="outset" w:sz="6" w:space="0" w:color="000000"/>
              <w:right w:val="outset" w:sz="6" w:space="0" w:color="000000"/>
            </w:tcBorders>
            <w:vAlign w:val="center"/>
          </w:tcPr>
          <w:p w14:paraId="01E968DA"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72682E7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500</w:t>
            </w:r>
          </w:p>
        </w:tc>
        <w:tc>
          <w:tcPr>
            <w:tcW w:w="1206" w:type="dxa"/>
            <w:tcBorders>
              <w:top w:val="outset" w:sz="6" w:space="0" w:color="000000"/>
              <w:left w:val="outset" w:sz="6" w:space="0" w:color="000000"/>
              <w:bottom w:val="outset" w:sz="6" w:space="0" w:color="000000"/>
              <w:right w:val="outset" w:sz="6" w:space="0" w:color="000000"/>
            </w:tcBorders>
            <w:vAlign w:val="center"/>
          </w:tcPr>
          <w:p w14:paraId="21CB58B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111701A1"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387A746B"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1879F9D2"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宁夏</w:t>
            </w:r>
          </w:p>
        </w:tc>
        <w:tc>
          <w:tcPr>
            <w:tcW w:w="1454" w:type="dxa"/>
            <w:tcBorders>
              <w:top w:val="outset" w:sz="6" w:space="0" w:color="000000"/>
              <w:left w:val="outset" w:sz="6" w:space="0" w:color="000000"/>
              <w:bottom w:val="outset" w:sz="6" w:space="0" w:color="000000"/>
              <w:right w:val="outset" w:sz="6" w:space="0" w:color="000000"/>
            </w:tcBorders>
            <w:vAlign w:val="center"/>
          </w:tcPr>
          <w:p w14:paraId="1A71BEF7"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18B7BCC2"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470</w:t>
            </w:r>
          </w:p>
        </w:tc>
        <w:tc>
          <w:tcPr>
            <w:tcW w:w="1206" w:type="dxa"/>
            <w:tcBorders>
              <w:top w:val="outset" w:sz="6" w:space="0" w:color="000000"/>
              <w:left w:val="outset" w:sz="6" w:space="0" w:color="000000"/>
              <w:bottom w:val="outset" w:sz="6" w:space="0" w:color="000000"/>
              <w:right w:val="outset" w:sz="6" w:space="0" w:color="000000"/>
            </w:tcBorders>
            <w:vAlign w:val="center"/>
          </w:tcPr>
          <w:p w14:paraId="5BD12CB3"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02ACC12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r w:rsidR="008349D9" w14:paraId="49EFAAFC" w14:textId="77777777" w:rsidTr="00EC664F">
        <w:trPr>
          <w:jc w:val="center"/>
        </w:trPr>
        <w:tc>
          <w:tcPr>
            <w:tcW w:w="2260" w:type="dxa"/>
            <w:tcBorders>
              <w:top w:val="outset" w:sz="6" w:space="0" w:color="000000"/>
              <w:left w:val="outset" w:sz="6" w:space="0" w:color="000000"/>
              <w:bottom w:val="outset" w:sz="6" w:space="0" w:color="000000"/>
              <w:right w:val="outset" w:sz="6" w:space="0" w:color="000000"/>
            </w:tcBorders>
            <w:vAlign w:val="center"/>
          </w:tcPr>
          <w:p w14:paraId="4CD10DC1" w14:textId="77777777" w:rsidR="008349D9" w:rsidRDefault="00000000">
            <w:pPr>
              <w:widowControl/>
              <w:spacing w:line="560" w:lineRule="exact"/>
              <w:ind w:firstLine="200"/>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新疆</w:t>
            </w:r>
          </w:p>
        </w:tc>
        <w:tc>
          <w:tcPr>
            <w:tcW w:w="1454" w:type="dxa"/>
            <w:tcBorders>
              <w:top w:val="outset" w:sz="6" w:space="0" w:color="000000"/>
              <w:left w:val="outset" w:sz="6" w:space="0" w:color="000000"/>
              <w:bottom w:val="outset" w:sz="6" w:space="0" w:color="000000"/>
              <w:right w:val="outset" w:sz="6" w:space="0" w:color="000000"/>
            </w:tcBorders>
            <w:vAlign w:val="center"/>
          </w:tcPr>
          <w:p w14:paraId="0B0990A4"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800</w:t>
            </w:r>
          </w:p>
        </w:tc>
        <w:tc>
          <w:tcPr>
            <w:tcW w:w="1173" w:type="dxa"/>
            <w:tcBorders>
              <w:top w:val="outset" w:sz="6" w:space="0" w:color="000000"/>
              <w:left w:val="outset" w:sz="6" w:space="0" w:color="000000"/>
              <w:bottom w:val="outset" w:sz="6" w:space="0" w:color="000000"/>
              <w:right w:val="outset" w:sz="6" w:space="0" w:color="000000"/>
            </w:tcBorders>
            <w:vAlign w:val="center"/>
          </w:tcPr>
          <w:p w14:paraId="08FE89CC"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480</w:t>
            </w:r>
          </w:p>
        </w:tc>
        <w:tc>
          <w:tcPr>
            <w:tcW w:w="1206" w:type="dxa"/>
            <w:tcBorders>
              <w:top w:val="outset" w:sz="6" w:space="0" w:color="000000"/>
              <w:left w:val="outset" w:sz="6" w:space="0" w:color="000000"/>
              <w:bottom w:val="outset" w:sz="6" w:space="0" w:color="000000"/>
              <w:right w:val="outset" w:sz="6" w:space="0" w:color="000000"/>
            </w:tcBorders>
            <w:vAlign w:val="center"/>
          </w:tcPr>
          <w:p w14:paraId="27F8FCA6"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hint="eastAsia"/>
                <w:sz w:val="32"/>
                <w:szCs w:val="32"/>
              </w:rPr>
              <w:t>350</w:t>
            </w:r>
          </w:p>
        </w:tc>
        <w:tc>
          <w:tcPr>
            <w:tcW w:w="2404" w:type="dxa"/>
            <w:tcBorders>
              <w:top w:val="outset" w:sz="6" w:space="0" w:color="000000"/>
              <w:left w:val="outset" w:sz="6" w:space="0" w:color="000000"/>
              <w:bottom w:val="outset" w:sz="6" w:space="0" w:color="000000"/>
              <w:right w:val="outset" w:sz="6" w:space="0" w:color="000000"/>
            </w:tcBorders>
            <w:vAlign w:val="center"/>
          </w:tcPr>
          <w:p w14:paraId="16014639" w14:textId="77777777" w:rsidR="008349D9" w:rsidRDefault="00000000">
            <w:pPr>
              <w:widowControl/>
              <w:spacing w:line="560" w:lineRule="exact"/>
              <w:jc w:val="center"/>
              <w:rPr>
                <w:rFonts w:ascii="仿宋_GB2312" w:eastAsia="仿宋_GB2312" w:hAnsi="楷体" w:cs="宋体" w:hint="eastAsia"/>
                <w:kern w:val="0"/>
                <w:sz w:val="32"/>
                <w:szCs w:val="32"/>
              </w:rPr>
            </w:pPr>
            <w:r>
              <w:rPr>
                <w:rFonts w:ascii="仿宋_GB2312" w:eastAsia="仿宋_GB2312" w:hAnsi="楷体" w:cs="宋体" w:hint="eastAsia"/>
                <w:kern w:val="0"/>
                <w:sz w:val="32"/>
                <w:szCs w:val="32"/>
              </w:rPr>
              <w:t>100</w:t>
            </w:r>
          </w:p>
        </w:tc>
      </w:tr>
    </w:tbl>
    <w:p w14:paraId="0A7F5AD2"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lastRenderedPageBreak/>
        <w:t>（一）理事会员工住单间或标准间。</w:t>
      </w:r>
    </w:p>
    <w:p w14:paraId="52CBD286" w14:textId="5C350385"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（二）出差人员应当在职务级别对应的出差目的地住宿费标准限额内，选择安全、经济、便捷的宾馆住宿</w:t>
      </w:r>
      <w:r w:rsidR="008969A9">
        <w:rPr>
          <w:rFonts w:ascii="仿宋_GB2312" w:eastAsia="仿宋_GB2312" w:hAnsi="楷体" w:hint="eastAsia"/>
          <w:sz w:val="32"/>
          <w:szCs w:val="32"/>
        </w:rPr>
        <w:t>，如遇到目的地旅游旺季等特殊情况，可适情提高住宿费标准</w:t>
      </w:r>
      <w:r>
        <w:rPr>
          <w:rFonts w:ascii="仿宋_GB2312" w:eastAsia="仿宋_GB2312" w:hAnsi="楷体" w:hint="eastAsia"/>
          <w:sz w:val="32"/>
          <w:szCs w:val="32"/>
        </w:rPr>
        <w:t>。</w:t>
      </w:r>
    </w:p>
    <w:p w14:paraId="70584D45"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cs="宋体" w:hint="eastAsia"/>
          <w:sz w:val="32"/>
          <w:szCs w:val="32"/>
        </w:rPr>
        <w:t>第</w:t>
      </w:r>
      <w:r>
        <w:rPr>
          <w:rFonts w:ascii="仿宋_GB2312" w:eastAsia="仿宋_GB2312" w:hAnsi="楷体" w:hint="eastAsia"/>
          <w:sz w:val="32"/>
          <w:szCs w:val="32"/>
        </w:rPr>
        <w:t>六十五</w:t>
      </w:r>
      <w:r>
        <w:rPr>
          <w:rFonts w:ascii="仿宋_GB2312" w:eastAsia="仿宋_GB2312" w:hAnsi="楷体" w:cs="宋体" w:hint="eastAsia"/>
          <w:sz w:val="32"/>
          <w:szCs w:val="32"/>
        </w:rPr>
        <w:t>条 伙食</w:t>
      </w:r>
      <w:r>
        <w:rPr>
          <w:rFonts w:ascii="仿宋_GB2312" w:eastAsia="仿宋_GB2312" w:hAnsi="楷体" w:hint="eastAsia"/>
          <w:sz w:val="32"/>
          <w:szCs w:val="32"/>
        </w:rPr>
        <w:t>补助费是指对工作人员因公出差给予的差旅补助费用。差旅补助费按出差自然(日历)天数计算，每人每天补助100元。</w:t>
      </w:r>
    </w:p>
    <w:p w14:paraId="433EB217"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第六十六条 市内交通费，是指工作人员因公出差期间发生的市内交通费用。</w:t>
      </w:r>
    </w:p>
    <w:p w14:paraId="5742E63C"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第六十七条 出差人员应当严格按规定开支差旅费，费用由基金会承担，不得向下级单位、企业或其他单位转嫁。</w:t>
      </w:r>
    </w:p>
    <w:p w14:paraId="3C876962" w14:textId="77777777" w:rsidR="008349D9" w:rsidRDefault="00000000">
      <w:pPr>
        <w:spacing w:line="560" w:lineRule="exact"/>
        <w:ind w:firstLineChars="200" w:firstLine="640"/>
        <w:rPr>
          <w:rFonts w:ascii="仿宋_GB2312" w:eastAsia="仿宋_GB2312" w:hAnsi="楷体" w:cs="宋体" w:hint="eastAsia"/>
          <w:kern w:val="0"/>
          <w:sz w:val="32"/>
          <w:szCs w:val="32"/>
        </w:rPr>
      </w:pPr>
      <w:r>
        <w:rPr>
          <w:rFonts w:ascii="仿宋_GB2312" w:eastAsia="仿宋_GB2312" w:hAnsi="楷体" w:cs="宋体" w:hint="eastAsia"/>
          <w:kern w:val="0"/>
          <w:sz w:val="32"/>
          <w:szCs w:val="32"/>
          <w:shd w:val="clear" w:color="auto" w:fill="FFFFFF"/>
        </w:rPr>
        <w:t>第六十八条 城市间交通费按乘坐交通工具的等级凭据报销，订票费、经批准发生的签转或退票费、交通意外保险费凭据报销。</w:t>
      </w:r>
    </w:p>
    <w:p w14:paraId="31E2A96C" w14:textId="77777777" w:rsidR="008349D9" w:rsidRDefault="00000000">
      <w:pPr>
        <w:spacing w:line="560" w:lineRule="exact"/>
        <w:ind w:firstLineChars="200" w:firstLine="640"/>
        <w:rPr>
          <w:rFonts w:ascii="仿宋_GB2312" w:eastAsia="仿宋_GB2312" w:hAnsi="楷体" w:cs="宋体" w:hint="eastAsia"/>
          <w:kern w:val="0"/>
          <w:sz w:val="32"/>
          <w:szCs w:val="32"/>
        </w:rPr>
      </w:pPr>
      <w:r>
        <w:rPr>
          <w:rFonts w:ascii="仿宋_GB2312" w:eastAsia="仿宋_GB2312" w:hAnsi="楷体" w:cs="宋体" w:hint="eastAsia"/>
          <w:kern w:val="0"/>
          <w:sz w:val="32"/>
          <w:szCs w:val="32"/>
          <w:shd w:val="clear" w:color="auto" w:fill="FFFFFF"/>
        </w:rPr>
        <w:t>第六十九条 住宿费在标准限额之内凭发票据实报销。</w:t>
      </w:r>
    </w:p>
    <w:p w14:paraId="5F8A5F63"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第七十条 伙食补助费按出差目的地的标准报销，在途期间的伙食补助费按当天最后到达目的地的标准报销。未按规定开支差旅费的，超支部分由个人自理。</w:t>
      </w:r>
    </w:p>
    <w:p w14:paraId="5A7A39EC"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第七十一条</w:t>
      </w:r>
      <w:r>
        <w:rPr>
          <w:rFonts w:ascii="仿宋_GB2312" w:eastAsia="仿宋_GB2312" w:hAnsi="宋体" w:cs="宋体" w:hint="eastAsia"/>
          <w:kern w:val="0"/>
          <w:sz w:val="32"/>
          <w:szCs w:val="32"/>
          <w:shd w:val="clear" w:color="auto" w:fill="FFFFFF"/>
        </w:rPr>
        <w:t xml:space="preserve"> </w:t>
      </w:r>
      <w:r>
        <w:rPr>
          <w:rFonts w:ascii="仿宋_GB2312" w:eastAsia="仿宋_GB2312" w:hAnsi="楷体" w:cs="宋体" w:hint="eastAsia"/>
          <w:kern w:val="0"/>
          <w:sz w:val="32"/>
          <w:szCs w:val="32"/>
          <w:shd w:val="clear" w:color="auto" w:fill="FFFFFF"/>
        </w:rPr>
        <w:t>工作人员出差结束后应当及时办理报销手续。差旅费报销时应当提供出差审批单、机票、车票、住宿费发票及住宿水单等凭证，并按财务部要求规范粘贴。</w:t>
      </w:r>
    </w:p>
    <w:p w14:paraId="1E0CEE39" w14:textId="77777777" w:rsidR="008349D9" w:rsidRDefault="00000000">
      <w:pPr>
        <w:spacing w:line="560" w:lineRule="exact"/>
        <w:ind w:firstLineChars="200" w:firstLine="640"/>
        <w:rPr>
          <w:rFonts w:ascii="仿宋_GB2312" w:eastAsia="仿宋_GB2312" w:hAnsi="楷体" w:cs="宋体" w:hint="eastAsia"/>
          <w:kern w:val="0"/>
          <w:sz w:val="32"/>
          <w:szCs w:val="32"/>
        </w:rPr>
      </w:pPr>
      <w:r>
        <w:rPr>
          <w:rFonts w:ascii="仿宋_GB2312" w:eastAsia="仿宋_GB2312" w:hAnsi="楷体" w:cs="宋体" w:hint="eastAsia"/>
          <w:kern w:val="0"/>
          <w:sz w:val="32"/>
          <w:szCs w:val="32"/>
          <w:shd w:val="clear" w:color="auto" w:fill="FFFFFF"/>
        </w:rPr>
        <w:t>第七十二条</w:t>
      </w:r>
      <w:r>
        <w:rPr>
          <w:rFonts w:ascii="仿宋_GB2312" w:eastAsia="仿宋_GB2312" w:hAnsi="宋体" w:cs="宋体" w:hint="eastAsia"/>
          <w:kern w:val="0"/>
          <w:sz w:val="32"/>
          <w:szCs w:val="32"/>
          <w:shd w:val="clear" w:color="auto" w:fill="FFFFFF"/>
        </w:rPr>
        <w:t xml:space="preserve"> </w:t>
      </w:r>
      <w:r>
        <w:rPr>
          <w:rFonts w:ascii="仿宋_GB2312" w:eastAsia="仿宋_GB2312" w:hAnsi="楷体" w:cs="宋体" w:hint="eastAsia"/>
          <w:kern w:val="0"/>
          <w:sz w:val="32"/>
          <w:szCs w:val="32"/>
          <w:shd w:val="clear" w:color="auto" w:fill="FFFFFF"/>
        </w:rPr>
        <w:t>财务部应当严格按规定审核差旅费开支，对未经批准出差以及超范围、超标准开支的费用不予报销。</w:t>
      </w:r>
    </w:p>
    <w:p w14:paraId="711BD23A"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cs="宋体" w:hint="eastAsia"/>
          <w:kern w:val="0"/>
          <w:sz w:val="32"/>
          <w:szCs w:val="32"/>
          <w:shd w:val="clear" w:color="auto" w:fill="FFFFFF"/>
        </w:rPr>
        <w:t>第七十三条 交通费发票丢失不予办理报销手续。</w:t>
      </w:r>
    </w:p>
    <w:p w14:paraId="535CECE3" w14:textId="77777777" w:rsidR="008349D9" w:rsidRDefault="00000000">
      <w:pPr>
        <w:spacing w:line="560" w:lineRule="exact"/>
        <w:ind w:firstLineChars="200" w:firstLine="640"/>
        <w:rPr>
          <w:rFonts w:ascii="仿宋_GB2312" w:eastAsia="仿宋_GB2312" w:hAnsi="楷体" w:cs="宋体" w:hint="eastAsia"/>
          <w:kern w:val="0"/>
          <w:sz w:val="32"/>
          <w:szCs w:val="32"/>
        </w:rPr>
      </w:pPr>
      <w:r>
        <w:rPr>
          <w:rFonts w:ascii="仿宋_GB2312" w:eastAsia="仿宋_GB2312" w:hAnsi="楷体" w:cs="宋体" w:hint="eastAsia"/>
          <w:kern w:val="0"/>
          <w:sz w:val="32"/>
          <w:szCs w:val="32"/>
          <w:shd w:val="clear" w:color="auto" w:fill="FFFFFF"/>
        </w:rPr>
        <w:lastRenderedPageBreak/>
        <w:t>第七十四条 强化工作人员出差活动和经费报销的内控管理，严格差旅费的审批制度。相关领导、财务人员等对差旅费报销进行审核把关，确保票据来源合法，内容真实完整、合规。</w:t>
      </w:r>
    </w:p>
    <w:p w14:paraId="2EF89702"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第七十五条</w:t>
      </w:r>
      <w:r>
        <w:rPr>
          <w:rFonts w:ascii="仿宋_GB2312" w:eastAsia="仿宋_GB2312" w:hAnsi="宋体" w:cs="宋体"/>
          <w:kern w:val="0"/>
          <w:sz w:val="32"/>
          <w:szCs w:val="32"/>
          <w:shd w:val="clear" w:color="auto" w:fill="FFFFFF"/>
        </w:rPr>
        <w:t xml:space="preserve"> </w:t>
      </w:r>
      <w:r>
        <w:rPr>
          <w:rFonts w:ascii="仿宋_GB2312" w:eastAsia="仿宋_GB2312" w:hAnsi="楷体" w:cs="宋体" w:hint="eastAsia"/>
          <w:kern w:val="0"/>
          <w:sz w:val="32"/>
          <w:szCs w:val="32"/>
          <w:shd w:val="clear" w:color="auto" w:fill="FFFFFF"/>
        </w:rPr>
        <w:t>财务部对基金会差旅费管理和使用情况进行监督检查。主要内容包括：</w:t>
      </w:r>
    </w:p>
    <w:p w14:paraId="4A941869"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（一）差旅费开支范围和标准是否符合规定；</w:t>
      </w:r>
    </w:p>
    <w:p w14:paraId="1F7F70E7" w14:textId="6A0FD15E"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（二）差旅费报销是否符合规定；</w:t>
      </w:r>
    </w:p>
    <w:p w14:paraId="4F08E3B4"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（三）是否向下级单位、企业或其他单位转嫁差旅费；</w:t>
      </w:r>
    </w:p>
    <w:p w14:paraId="231449B5"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（四）差旅费管理和使用的其他情况。</w:t>
      </w:r>
    </w:p>
    <w:p w14:paraId="6A6E7310"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第七十六条 出差人员不得向接待单位提出正常公务活动以外的要求，不得在出差期间接受违反规定用公款支付的宴请、游览和非工作需要的参观，不得接受礼品、礼金和土特产品等。</w:t>
      </w:r>
    </w:p>
    <w:p w14:paraId="2A412F30"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第七十七条 违反本办法规定，有下列行为之一的，依法依规追究人员的责任：</w:t>
      </w:r>
    </w:p>
    <w:p w14:paraId="2C3CC249"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（一）虚报冒领差旅费的；</w:t>
      </w:r>
    </w:p>
    <w:p w14:paraId="31F62D48"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（二）擅自扩大差旅费开支范围和提高开支标准的；</w:t>
      </w:r>
    </w:p>
    <w:p w14:paraId="4C33F6ED"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（三）不按规定报销差旅费的；</w:t>
      </w:r>
    </w:p>
    <w:p w14:paraId="0094BECA"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（四）转嫁差旅费的；</w:t>
      </w:r>
    </w:p>
    <w:p w14:paraId="6567F2F1"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（五）其他违反本办法行为的。</w:t>
      </w:r>
    </w:p>
    <w:p w14:paraId="14F3B182"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有前款所列行为之一的，由部门领导责令改正，违规资金应予追回，并视情况予以通报。对直接责任人和相关负责人，报请其所在部门按规定给予行政处分。涉嫌违法的，移</w:t>
      </w:r>
      <w:r>
        <w:rPr>
          <w:rFonts w:ascii="仿宋_GB2312" w:eastAsia="仿宋_GB2312" w:hAnsi="楷体" w:cs="宋体" w:hint="eastAsia"/>
          <w:kern w:val="0"/>
          <w:sz w:val="32"/>
          <w:szCs w:val="32"/>
          <w:shd w:val="clear" w:color="auto" w:fill="FFFFFF"/>
        </w:rPr>
        <w:lastRenderedPageBreak/>
        <w:t>送司法机关处理。</w:t>
      </w:r>
    </w:p>
    <w:p w14:paraId="63ED7C13" w14:textId="77777777" w:rsidR="008349D9" w:rsidRDefault="00000000">
      <w:pPr>
        <w:spacing w:line="560" w:lineRule="exact"/>
        <w:ind w:firstLineChars="200" w:firstLine="640"/>
        <w:rPr>
          <w:rFonts w:ascii="仿宋_GB2312" w:eastAsia="仿宋_GB2312" w:hAnsi="楷体" w:cs="宋体" w:hint="eastAsia"/>
          <w:kern w:val="0"/>
          <w:sz w:val="32"/>
          <w:szCs w:val="32"/>
          <w:shd w:val="clear" w:color="auto" w:fill="FFFFFF"/>
        </w:rPr>
      </w:pPr>
      <w:r>
        <w:rPr>
          <w:rFonts w:ascii="仿宋_GB2312" w:eastAsia="仿宋_GB2312" w:hAnsi="楷体" w:cs="宋体" w:hint="eastAsia"/>
          <w:kern w:val="0"/>
          <w:sz w:val="32"/>
          <w:szCs w:val="32"/>
          <w:shd w:val="clear" w:color="auto" w:fill="FFFFFF"/>
        </w:rPr>
        <w:t>第七十八条 工作人员外出参加会议、培训，往返会议、培训地点的差旅费按照规定报销。</w:t>
      </w:r>
    </w:p>
    <w:p w14:paraId="28BDD96B"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kern w:val="0"/>
          <w:sz w:val="32"/>
          <w:szCs w:val="32"/>
          <w:shd w:val="clear" w:color="auto" w:fill="FFFFFF"/>
        </w:rPr>
        <w:t>七十九</w:t>
      </w:r>
      <w:r>
        <w:rPr>
          <w:rFonts w:ascii="仿宋_GB2312" w:eastAsia="仿宋_GB2312" w:hAnsi="楷体" w:hint="eastAsia"/>
          <w:sz w:val="32"/>
          <w:szCs w:val="32"/>
        </w:rPr>
        <w:t>条 报销程序：经办人在完成业务并取得合法票据后，填写《差旅费用报销单》写明部门、经手人、报销日期、费用事由、报销金额、个人银行信息等内容，并附出差审批单或其他相关证明，经秘书长、财务主任及理事长审批。</w:t>
      </w:r>
    </w:p>
    <w:p w14:paraId="164AA2A8" w14:textId="77777777" w:rsidR="008349D9" w:rsidRDefault="00000000">
      <w:pPr>
        <w:spacing w:line="560" w:lineRule="exact"/>
        <w:jc w:val="center"/>
        <w:rPr>
          <w:rFonts w:ascii="仿宋_GB2312" w:eastAsia="仿宋_GB2312" w:hAnsi="楷体" w:hint="eastAsia"/>
          <w:bCs/>
          <w:sz w:val="32"/>
          <w:szCs w:val="32"/>
        </w:rPr>
      </w:pPr>
      <w:bookmarkStart w:id="10" w:name="_Toc66524522"/>
      <w:r>
        <w:rPr>
          <w:rFonts w:ascii="黑体" w:eastAsia="黑体" w:hAnsi="黑体" w:hint="eastAsia"/>
          <w:sz w:val="36"/>
          <w:szCs w:val="36"/>
        </w:rPr>
        <w:t>第十一章 票据使用管理制度</w:t>
      </w:r>
      <w:bookmarkEnd w:id="10"/>
    </w:p>
    <w:p w14:paraId="484ED72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八十</w:t>
      </w:r>
      <w:r>
        <w:rPr>
          <w:rFonts w:ascii="仿宋_GB2312" w:eastAsia="仿宋_GB2312" w:hAnsi="楷体" w:hint="eastAsia"/>
          <w:sz w:val="32"/>
          <w:szCs w:val="32"/>
        </w:rPr>
        <w:t>条 基金会应当严格按照《公益事业捐赠票据使用管理暂行办法》本办法规定和财政部门的要求开具捐赠票据。</w:t>
      </w:r>
    </w:p>
    <w:p w14:paraId="139FED80"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八十一</w:t>
      </w:r>
      <w:r>
        <w:rPr>
          <w:rFonts w:ascii="仿宋_GB2312" w:eastAsia="仿宋_GB2312" w:hAnsi="楷体" w:hint="eastAsia"/>
          <w:sz w:val="32"/>
          <w:szCs w:val="32"/>
        </w:rPr>
        <w:t>条 各种收据、捐赠票据由财务部统一管理。</w:t>
      </w:r>
    </w:p>
    <w:p w14:paraId="7966F92D"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八十二</w:t>
      </w:r>
      <w:r>
        <w:rPr>
          <w:rFonts w:ascii="仿宋_GB2312" w:eastAsia="仿宋_GB2312" w:hAnsi="楷体" w:hint="eastAsia"/>
          <w:sz w:val="32"/>
          <w:szCs w:val="32"/>
        </w:rPr>
        <w:t>条 空白票据由财务部统一购买领发和保管，严防丢失。</w:t>
      </w:r>
    </w:p>
    <w:p w14:paraId="7E721D98"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八十三</w:t>
      </w:r>
      <w:r>
        <w:rPr>
          <w:rFonts w:ascii="仿宋_GB2312" w:eastAsia="仿宋_GB2312" w:hAnsi="楷体" w:hint="eastAsia"/>
          <w:sz w:val="32"/>
          <w:szCs w:val="32"/>
        </w:rPr>
        <w:t>条 空白票据由财务部设专人保管，设立票据登记册簿，严格领用、收缴及销毁手续，领用时必须按票据顺序登记。</w:t>
      </w:r>
    </w:p>
    <w:p w14:paraId="7AE63FEF"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八十四</w:t>
      </w:r>
      <w:r>
        <w:rPr>
          <w:rFonts w:ascii="仿宋_GB2312" w:eastAsia="仿宋_GB2312" w:hAnsi="楷体" w:hint="eastAsia"/>
          <w:sz w:val="32"/>
          <w:szCs w:val="32"/>
        </w:rPr>
        <w:t>条 填写使用票据必须按照编号顺序使用，逐栏填写清楚，内容完整、真实，印章齐全，各联次内容和金额一致，如有作废者，应当加盖作废戳记或者注明“作废”字样，并完整保存全部联次，不得私自销毁。</w:t>
      </w:r>
    </w:p>
    <w:p w14:paraId="6E2FAD6E"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八十五</w:t>
      </w:r>
      <w:r>
        <w:rPr>
          <w:rFonts w:ascii="仿宋_GB2312" w:eastAsia="仿宋_GB2312" w:hAnsi="楷体" w:hint="eastAsia"/>
          <w:sz w:val="32"/>
          <w:szCs w:val="32"/>
        </w:rPr>
        <w:t>条 不得转让、出借、代开、买卖、销毁、涂改捐赠票据，不得将捐赠票据与其他财政票据、税务发票互相</w:t>
      </w:r>
      <w:r>
        <w:rPr>
          <w:rFonts w:ascii="仿宋_GB2312" w:eastAsia="仿宋_GB2312" w:hAnsi="楷体" w:hint="eastAsia"/>
          <w:sz w:val="32"/>
          <w:szCs w:val="32"/>
        </w:rPr>
        <w:lastRenderedPageBreak/>
        <w:t>串用。</w:t>
      </w:r>
    </w:p>
    <w:p w14:paraId="361D4DAC"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kern w:val="0"/>
          <w:sz w:val="32"/>
          <w:szCs w:val="32"/>
          <w:shd w:val="clear" w:color="auto" w:fill="FFFFFF"/>
        </w:rPr>
        <w:t>八十六</w:t>
      </w:r>
      <w:r>
        <w:rPr>
          <w:rFonts w:ascii="仿宋_GB2312" w:eastAsia="仿宋_GB2312" w:hAnsi="楷体" w:hint="eastAsia"/>
          <w:sz w:val="32"/>
          <w:szCs w:val="32"/>
        </w:rPr>
        <w:t>条 对未使用过的票据如有遗失，应及时查明原因进行处理，并报主管部门和税务机关备案，同时登报声明作废。</w:t>
      </w:r>
    </w:p>
    <w:p w14:paraId="1D398AF1"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kern w:val="0"/>
          <w:sz w:val="32"/>
          <w:szCs w:val="32"/>
          <w:shd w:val="clear" w:color="auto" w:fill="FFFFFF"/>
        </w:rPr>
        <w:t>八十七</w:t>
      </w:r>
      <w:r>
        <w:rPr>
          <w:rFonts w:ascii="仿宋_GB2312" w:eastAsia="仿宋_GB2312" w:hAnsi="楷体" w:hint="eastAsia"/>
          <w:sz w:val="32"/>
          <w:szCs w:val="32"/>
        </w:rPr>
        <w:t>条 发票的废止及发票存根要按保存期保管，保存期限一般为5年，期满后需要销毁时，须经单位领导审批，并报主管部门及税务机关批准备案。</w:t>
      </w:r>
    </w:p>
    <w:p w14:paraId="4393EFA8"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八十八</w:t>
      </w:r>
      <w:r>
        <w:rPr>
          <w:rFonts w:ascii="仿宋_GB2312" w:eastAsia="仿宋_GB2312" w:hAnsi="楷体" w:hint="eastAsia"/>
          <w:sz w:val="32"/>
          <w:szCs w:val="32"/>
        </w:rPr>
        <w:t>条 接受货币（包括外币）捐赠时，应接实际收到的金额填开捐赠票据。</w:t>
      </w:r>
    </w:p>
    <w:p w14:paraId="1D5DCB0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八十九</w:t>
      </w:r>
      <w:r>
        <w:rPr>
          <w:rFonts w:ascii="仿宋_GB2312" w:eastAsia="仿宋_GB2312" w:hAnsi="楷体" w:hint="eastAsia"/>
          <w:sz w:val="32"/>
          <w:szCs w:val="32"/>
        </w:rPr>
        <w:t>条 接受非货币性捐赠时，应按其公允价值填开捐赠票据。</w:t>
      </w:r>
    </w:p>
    <w:p w14:paraId="4C49599D" w14:textId="77777777" w:rsidR="008349D9" w:rsidRDefault="00000000">
      <w:pPr>
        <w:spacing w:line="560" w:lineRule="exact"/>
        <w:jc w:val="center"/>
        <w:rPr>
          <w:rFonts w:ascii="仿宋_GB2312" w:eastAsia="仿宋_GB2312" w:hAnsi="楷体" w:hint="eastAsia"/>
          <w:sz w:val="32"/>
          <w:szCs w:val="32"/>
        </w:rPr>
      </w:pPr>
      <w:bookmarkStart w:id="11" w:name="_Toc66524523"/>
      <w:r>
        <w:rPr>
          <w:rFonts w:ascii="黑体" w:eastAsia="黑体" w:hAnsi="黑体" w:hint="eastAsia"/>
          <w:sz w:val="36"/>
          <w:szCs w:val="36"/>
        </w:rPr>
        <w:t>第十二章 财务审计制度</w:t>
      </w:r>
      <w:bookmarkEnd w:id="11"/>
    </w:p>
    <w:p w14:paraId="34FFACCF"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第九十条 在每年3月31日前，财务组委托有资质的会计师事务所，对基金会财务进行年终审计，财务组应按照相关法规要求将审计报告在基金会网站上予以公示，基金会的财务会计报告未经审计不得对外公布。</w:t>
      </w:r>
    </w:p>
    <w:p w14:paraId="4F9553B2"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第九十一条 监事负责监督财务制度的落实，有权依法检查基金会财务状况，并对基金会财务情况向理事会提出意见和建议。</w:t>
      </w:r>
    </w:p>
    <w:p w14:paraId="2EB8ACFB"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第九十二条 监事可以随时聘请第三方审计对基金会的财务状况进行内部审计。</w:t>
      </w:r>
    </w:p>
    <w:p w14:paraId="513F1EEC" w14:textId="77777777" w:rsidR="008349D9" w:rsidRDefault="00000000">
      <w:pPr>
        <w:spacing w:line="560" w:lineRule="exact"/>
        <w:ind w:firstLine="200"/>
        <w:jc w:val="center"/>
        <w:rPr>
          <w:rFonts w:ascii="仿宋_GB2312" w:eastAsia="黑体" w:hAnsi="楷体" w:hint="eastAsia"/>
          <w:bCs/>
          <w:sz w:val="32"/>
          <w:szCs w:val="32"/>
        </w:rPr>
      </w:pPr>
      <w:bookmarkStart w:id="12" w:name="_Toc66524524"/>
      <w:r>
        <w:rPr>
          <w:rFonts w:ascii="黑体" w:eastAsia="黑体" w:hAnsi="黑体" w:hint="eastAsia"/>
          <w:sz w:val="36"/>
          <w:szCs w:val="36"/>
        </w:rPr>
        <w:t>第十三章 会计档案的管理</w:t>
      </w:r>
      <w:bookmarkEnd w:id="12"/>
    </w:p>
    <w:p w14:paraId="7D9235D9"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九十三</w:t>
      </w:r>
      <w:r>
        <w:rPr>
          <w:rFonts w:ascii="仿宋_GB2312" w:eastAsia="仿宋_GB2312" w:hAnsi="楷体" w:hint="eastAsia"/>
          <w:sz w:val="32"/>
          <w:szCs w:val="32"/>
        </w:rPr>
        <w:t>条 财务人员必须对各种会计凭证、会计账簿、会计报表、财务计划以及各类合同等有关的会计资料，定期</w:t>
      </w:r>
      <w:r>
        <w:rPr>
          <w:rFonts w:ascii="仿宋_GB2312" w:eastAsia="仿宋_GB2312" w:hAnsi="楷体" w:hint="eastAsia"/>
          <w:sz w:val="32"/>
          <w:szCs w:val="32"/>
        </w:rPr>
        <w:lastRenderedPageBreak/>
        <w:t>（每天、每月）进行收集、审查、核对。每月终了后，整理立卷、装订成册、分类编制目录，定点存放，每年归档。</w:t>
      </w:r>
    </w:p>
    <w:p w14:paraId="6D28B82C"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九十四</w:t>
      </w:r>
      <w:r>
        <w:rPr>
          <w:rFonts w:ascii="仿宋_GB2312" w:eastAsia="仿宋_GB2312" w:hAnsi="楷体" w:hint="eastAsia"/>
          <w:sz w:val="32"/>
          <w:szCs w:val="32"/>
        </w:rPr>
        <w:t>条 会计档案资料由会计负责保管，每个财务人员都负有保护所有会计档案资料安全完整的责任。</w:t>
      </w:r>
    </w:p>
    <w:p w14:paraId="4E2E5104" w14:textId="77777777" w:rsidR="008349D9" w:rsidRDefault="00000000">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九十五</w:t>
      </w:r>
      <w:r>
        <w:rPr>
          <w:rFonts w:ascii="仿宋_GB2312" w:eastAsia="仿宋_GB2312" w:hAnsi="楷体" w:hint="eastAsia"/>
          <w:sz w:val="32"/>
          <w:szCs w:val="32"/>
        </w:rPr>
        <w:t>条 会计档案资料原则上不予外借。遇有特殊情况，须经财务主任批准后，可以提供查阅或复制，并办理登记手续。</w:t>
      </w:r>
    </w:p>
    <w:p w14:paraId="7284DFEA" w14:textId="60B16CD7" w:rsidR="008349D9" w:rsidRDefault="00000000" w:rsidP="00EC664F">
      <w:pPr>
        <w:spacing w:line="560" w:lineRule="exact"/>
        <w:ind w:firstLineChars="200" w:firstLine="640"/>
        <w:rPr>
          <w:rFonts w:ascii="仿宋_GB2312" w:eastAsia="仿宋_GB2312" w:hAnsi="楷体" w:hint="eastAsia"/>
          <w:sz w:val="32"/>
          <w:szCs w:val="32"/>
        </w:rPr>
      </w:pPr>
      <w:r>
        <w:rPr>
          <w:rFonts w:ascii="仿宋_GB2312" w:eastAsia="仿宋_GB2312" w:hAnsi="楷体" w:hint="eastAsia"/>
          <w:sz w:val="32"/>
          <w:szCs w:val="32"/>
        </w:rPr>
        <w:t>第</w:t>
      </w:r>
      <w:r>
        <w:rPr>
          <w:rFonts w:ascii="仿宋_GB2312" w:eastAsia="仿宋_GB2312" w:hAnsi="楷体" w:cs="宋体" w:hint="eastAsia"/>
          <w:color w:val="3E3E3E"/>
          <w:kern w:val="0"/>
          <w:sz w:val="32"/>
          <w:szCs w:val="32"/>
          <w:shd w:val="clear" w:color="auto" w:fill="FFFFFF"/>
        </w:rPr>
        <w:t>九十六</w:t>
      </w:r>
      <w:r>
        <w:rPr>
          <w:rFonts w:ascii="仿宋_GB2312" w:eastAsia="仿宋_GB2312" w:hAnsi="楷体" w:hint="eastAsia"/>
          <w:sz w:val="32"/>
          <w:szCs w:val="32"/>
        </w:rPr>
        <w:t>条 各种会计档案资料的保管期限按有关规定执行，销毁会计档案须按规定程序审批。</w:t>
      </w:r>
    </w:p>
    <w:sectPr w:rsidR="008349D9">
      <w:headerReference w:type="default" r:id="rId7"/>
      <w:footerReference w:type="default" r:id="rId8"/>
      <w:pgSz w:w="11906" w:h="16838"/>
      <w:pgMar w:top="1440" w:right="1797" w:bottom="1440" w:left="1797" w:header="851" w:footer="850"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55A50" w14:textId="77777777" w:rsidR="00925567" w:rsidRDefault="00925567">
      <w:r>
        <w:separator/>
      </w:r>
    </w:p>
  </w:endnote>
  <w:endnote w:type="continuationSeparator" w:id="0">
    <w:p w14:paraId="419654D6" w14:textId="77777777" w:rsidR="00925567" w:rsidRDefault="00925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Light">
    <w:panose1 w:val="020B0502040204020203"/>
    <w:charset w:val="86"/>
    <w:family w:val="swiss"/>
    <w:pitch w:val="variable"/>
    <w:sig w:usb0="80000287" w:usb1="2ACF001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0710203"/>
      <w:docPartObj>
        <w:docPartGallery w:val="AutoText"/>
      </w:docPartObj>
    </w:sdtPr>
    <w:sdtEndPr>
      <w:rPr>
        <w:rFonts w:ascii="仿宋_GB2312" w:eastAsia="仿宋_GB2312" w:hint="eastAsia"/>
        <w:sz w:val="32"/>
        <w:szCs w:val="32"/>
      </w:rPr>
    </w:sdtEndPr>
    <w:sdtContent>
      <w:p w14:paraId="781ABB72" w14:textId="77777777" w:rsidR="008349D9" w:rsidRDefault="00000000">
        <w:pPr>
          <w:pStyle w:val="a3"/>
          <w:jc w:val="center"/>
          <w:rPr>
            <w:rFonts w:ascii="仿宋_GB2312" w:eastAsia="仿宋_GB2312"/>
            <w:sz w:val="32"/>
            <w:szCs w:val="32"/>
          </w:rPr>
        </w:pPr>
        <w:r>
          <w:rPr>
            <w:rFonts w:ascii="仿宋_GB2312" w:eastAsia="仿宋_GB2312" w:hint="eastAsia"/>
            <w:sz w:val="32"/>
            <w:szCs w:val="32"/>
          </w:rPr>
          <w:fldChar w:fldCharType="begin"/>
        </w:r>
        <w:r>
          <w:rPr>
            <w:rFonts w:ascii="仿宋_GB2312" w:eastAsia="仿宋_GB2312" w:hint="eastAsia"/>
            <w:sz w:val="32"/>
            <w:szCs w:val="32"/>
          </w:rPr>
          <w:instrText>PAGE   \* MERGEFORMAT</w:instrText>
        </w:r>
        <w:r>
          <w:rPr>
            <w:rFonts w:ascii="仿宋_GB2312" w:eastAsia="仿宋_GB2312" w:hint="eastAsia"/>
            <w:sz w:val="32"/>
            <w:szCs w:val="32"/>
          </w:rPr>
          <w:fldChar w:fldCharType="separate"/>
        </w:r>
        <w:r>
          <w:rPr>
            <w:rFonts w:ascii="仿宋_GB2312" w:eastAsia="仿宋_GB2312" w:hint="eastAsia"/>
            <w:sz w:val="32"/>
            <w:szCs w:val="32"/>
            <w:lang w:val="zh-CN"/>
          </w:rPr>
          <w:t>2</w:t>
        </w:r>
        <w:r>
          <w:rPr>
            <w:rFonts w:ascii="仿宋_GB2312" w:eastAsia="仿宋_GB2312" w:hint="eastAsia"/>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B2B49" w14:textId="77777777" w:rsidR="00925567" w:rsidRDefault="00925567">
      <w:r>
        <w:separator/>
      </w:r>
    </w:p>
  </w:footnote>
  <w:footnote w:type="continuationSeparator" w:id="0">
    <w:p w14:paraId="7575B4A7" w14:textId="77777777" w:rsidR="00925567" w:rsidRDefault="00925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4ADF" w14:textId="77777777" w:rsidR="008349D9" w:rsidRDefault="00000000">
    <w:pPr>
      <w:pStyle w:val="a5"/>
      <w:jc w:val="right"/>
    </w:pPr>
    <w:r>
      <w:rPr>
        <w:rFonts w:hint="eastAsia"/>
      </w:rPr>
      <w:t>河北省中冀乡村振兴基金会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mI0YmUxZGQ5OTk2NWEyYTk4MmEzMDhlMDI4YTE4NzMifQ=="/>
  </w:docVars>
  <w:rsids>
    <w:rsidRoot w:val="007F779A"/>
    <w:rsid w:val="00006B84"/>
    <w:rsid w:val="0001720D"/>
    <w:rsid w:val="0002406E"/>
    <w:rsid w:val="000645E9"/>
    <w:rsid w:val="0006498D"/>
    <w:rsid w:val="00065E41"/>
    <w:rsid w:val="00070406"/>
    <w:rsid w:val="000C0BB3"/>
    <w:rsid w:val="000C3CEA"/>
    <w:rsid w:val="000D726E"/>
    <w:rsid w:val="000E7CC6"/>
    <w:rsid w:val="000F11D4"/>
    <w:rsid w:val="00157E60"/>
    <w:rsid w:val="001A759A"/>
    <w:rsid w:val="001E055A"/>
    <w:rsid w:val="001E3E47"/>
    <w:rsid w:val="00203C88"/>
    <w:rsid w:val="00220B31"/>
    <w:rsid w:val="002455EE"/>
    <w:rsid w:val="00255C3F"/>
    <w:rsid w:val="002973B6"/>
    <w:rsid w:val="002A5AB7"/>
    <w:rsid w:val="002A7649"/>
    <w:rsid w:val="002B680D"/>
    <w:rsid w:val="002D23A1"/>
    <w:rsid w:val="002F6BB2"/>
    <w:rsid w:val="0030066B"/>
    <w:rsid w:val="00302817"/>
    <w:rsid w:val="00307F23"/>
    <w:rsid w:val="00344042"/>
    <w:rsid w:val="00347ABC"/>
    <w:rsid w:val="00354694"/>
    <w:rsid w:val="00360A3B"/>
    <w:rsid w:val="00365EA4"/>
    <w:rsid w:val="00396BEF"/>
    <w:rsid w:val="003B61BF"/>
    <w:rsid w:val="003C52AF"/>
    <w:rsid w:val="003C6CD7"/>
    <w:rsid w:val="003D210B"/>
    <w:rsid w:val="003D7B0B"/>
    <w:rsid w:val="003E2CC6"/>
    <w:rsid w:val="003E49BF"/>
    <w:rsid w:val="00400963"/>
    <w:rsid w:val="00410DD2"/>
    <w:rsid w:val="00446DE4"/>
    <w:rsid w:val="00462438"/>
    <w:rsid w:val="004726DD"/>
    <w:rsid w:val="00480625"/>
    <w:rsid w:val="00483175"/>
    <w:rsid w:val="004834FF"/>
    <w:rsid w:val="004A0498"/>
    <w:rsid w:val="004B2B6C"/>
    <w:rsid w:val="004C0E3D"/>
    <w:rsid w:val="004C2C0D"/>
    <w:rsid w:val="004E4472"/>
    <w:rsid w:val="004F0301"/>
    <w:rsid w:val="004F74D6"/>
    <w:rsid w:val="00510CD1"/>
    <w:rsid w:val="00521AEC"/>
    <w:rsid w:val="00530C30"/>
    <w:rsid w:val="0055466B"/>
    <w:rsid w:val="00564831"/>
    <w:rsid w:val="00574555"/>
    <w:rsid w:val="005838A5"/>
    <w:rsid w:val="005A1496"/>
    <w:rsid w:val="005B1E84"/>
    <w:rsid w:val="005B5595"/>
    <w:rsid w:val="00630263"/>
    <w:rsid w:val="00643063"/>
    <w:rsid w:val="00647632"/>
    <w:rsid w:val="00651870"/>
    <w:rsid w:val="00655A2E"/>
    <w:rsid w:val="00670F6E"/>
    <w:rsid w:val="00674D23"/>
    <w:rsid w:val="006A1B60"/>
    <w:rsid w:val="006B3597"/>
    <w:rsid w:val="006C648D"/>
    <w:rsid w:val="006D743A"/>
    <w:rsid w:val="006E5D15"/>
    <w:rsid w:val="006F68C1"/>
    <w:rsid w:val="00711E83"/>
    <w:rsid w:val="00716D8D"/>
    <w:rsid w:val="00727D98"/>
    <w:rsid w:val="00737E94"/>
    <w:rsid w:val="00747EE0"/>
    <w:rsid w:val="007804BF"/>
    <w:rsid w:val="00782C14"/>
    <w:rsid w:val="0079535E"/>
    <w:rsid w:val="007A7C41"/>
    <w:rsid w:val="007B5944"/>
    <w:rsid w:val="007C0DB2"/>
    <w:rsid w:val="007F779A"/>
    <w:rsid w:val="00802D2A"/>
    <w:rsid w:val="00813C89"/>
    <w:rsid w:val="00831AA7"/>
    <w:rsid w:val="008349D9"/>
    <w:rsid w:val="00861050"/>
    <w:rsid w:val="00862363"/>
    <w:rsid w:val="0086778C"/>
    <w:rsid w:val="00894BB9"/>
    <w:rsid w:val="008963EA"/>
    <w:rsid w:val="008969A9"/>
    <w:rsid w:val="008B7DAE"/>
    <w:rsid w:val="008E4655"/>
    <w:rsid w:val="008F0236"/>
    <w:rsid w:val="00914DFF"/>
    <w:rsid w:val="00915CC1"/>
    <w:rsid w:val="00925525"/>
    <w:rsid w:val="00925567"/>
    <w:rsid w:val="009302F7"/>
    <w:rsid w:val="009355C8"/>
    <w:rsid w:val="00965AA0"/>
    <w:rsid w:val="00970DBE"/>
    <w:rsid w:val="009A03ED"/>
    <w:rsid w:val="009A48DC"/>
    <w:rsid w:val="009C0051"/>
    <w:rsid w:val="009F278D"/>
    <w:rsid w:val="00A2013E"/>
    <w:rsid w:val="00A30484"/>
    <w:rsid w:val="00A74448"/>
    <w:rsid w:val="00AB3766"/>
    <w:rsid w:val="00AD4E41"/>
    <w:rsid w:val="00AF101A"/>
    <w:rsid w:val="00B023AC"/>
    <w:rsid w:val="00B055C6"/>
    <w:rsid w:val="00B3014C"/>
    <w:rsid w:val="00B31D9F"/>
    <w:rsid w:val="00B4228E"/>
    <w:rsid w:val="00B438E0"/>
    <w:rsid w:val="00B50004"/>
    <w:rsid w:val="00B543AC"/>
    <w:rsid w:val="00B62C8D"/>
    <w:rsid w:val="00B62F8E"/>
    <w:rsid w:val="00B65783"/>
    <w:rsid w:val="00B65ADA"/>
    <w:rsid w:val="00B72C25"/>
    <w:rsid w:val="00B82770"/>
    <w:rsid w:val="00B90688"/>
    <w:rsid w:val="00B91B14"/>
    <w:rsid w:val="00BA5284"/>
    <w:rsid w:val="00BB7BA6"/>
    <w:rsid w:val="00BC0971"/>
    <w:rsid w:val="00BC3A4C"/>
    <w:rsid w:val="00C00F84"/>
    <w:rsid w:val="00C061FD"/>
    <w:rsid w:val="00C2398E"/>
    <w:rsid w:val="00C2614F"/>
    <w:rsid w:val="00C42966"/>
    <w:rsid w:val="00C47525"/>
    <w:rsid w:val="00C603AD"/>
    <w:rsid w:val="00C74065"/>
    <w:rsid w:val="00CB0C52"/>
    <w:rsid w:val="00CB2395"/>
    <w:rsid w:val="00CE3CDB"/>
    <w:rsid w:val="00CF522F"/>
    <w:rsid w:val="00CF6808"/>
    <w:rsid w:val="00D22C74"/>
    <w:rsid w:val="00D23EDA"/>
    <w:rsid w:val="00D74370"/>
    <w:rsid w:val="00D80D90"/>
    <w:rsid w:val="00D84356"/>
    <w:rsid w:val="00D94E22"/>
    <w:rsid w:val="00DB086E"/>
    <w:rsid w:val="00DB118F"/>
    <w:rsid w:val="00DD088A"/>
    <w:rsid w:val="00DF2440"/>
    <w:rsid w:val="00E057D5"/>
    <w:rsid w:val="00E068E1"/>
    <w:rsid w:val="00E15821"/>
    <w:rsid w:val="00E45759"/>
    <w:rsid w:val="00E67779"/>
    <w:rsid w:val="00E85F59"/>
    <w:rsid w:val="00E93B6C"/>
    <w:rsid w:val="00E94B09"/>
    <w:rsid w:val="00EA226E"/>
    <w:rsid w:val="00EA4F3C"/>
    <w:rsid w:val="00EC664F"/>
    <w:rsid w:val="00EC6C4F"/>
    <w:rsid w:val="00ED06E5"/>
    <w:rsid w:val="00ED693E"/>
    <w:rsid w:val="00EE1AC6"/>
    <w:rsid w:val="00EE547A"/>
    <w:rsid w:val="00F00371"/>
    <w:rsid w:val="00F14AA7"/>
    <w:rsid w:val="00F300DF"/>
    <w:rsid w:val="00F61B4F"/>
    <w:rsid w:val="00F81D78"/>
    <w:rsid w:val="00F81E57"/>
    <w:rsid w:val="00F87892"/>
    <w:rsid w:val="00FB2223"/>
    <w:rsid w:val="06053772"/>
    <w:rsid w:val="0A75526B"/>
    <w:rsid w:val="0E4C7F43"/>
    <w:rsid w:val="12086726"/>
    <w:rsid w:val="128F634E"/>
    <w:rsid w:val="17AF3855"/>
    <w:rsid w:val="27482764"/>
    <w:rsid w:val="307D020E"/>
    <w:rsid w:val="32E60DE8"/>
    <w:rsid w:val="32E620B2"/>
    <w:rsid w:val="34705357"/>
    <w:rsid w:val="36085F2D"/>
    <w:rsid w:val="36F00D16"/>
    <w:rsid w:val="3AFB3AFA"/>
    <w:rsid w:val="3D2E1C0C"/>
    <w:rsid w:val="4CD76E31"/>
    <w:rsid w:val="56E61481"/>
    <w:rsid w:val="62867EBF"/>
    <w:rsid w:val="662B07A7"/>
    <w:rsid w:val="6689671E"/>
    <w:rsid w:val="69BF7A25"/>
    <w:rsid w:val="69DF0F1E"/>
    <w:rsid w:val="75BA6FE1"/>
    <w:rsid w:val="76BC122C"/>
    <w:rsid w:val="788F2ABA"/>
    <w:rsid w:val="78F91413"/>
    <w:rsid w:val="7B211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C9C503"/>
  <w15:docId w15:val="{86BFAFB4-3975-4D38-98E2-899CCF19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character" w:styleId="a7">
    <w:name w:val="Hyperlink"/>
    <w:basedOn w:val="a0"/>
    <w:uiPriority w:val="99"/>
    <w:unhideWhenUsed/>
    <w:qFormat/>
    <w:rPr>
      <w:color w:val="0000FF"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0">
    <w:name w:val="标题 1 字符"/>
    <w:basedOn w:val="a0"/>
    <w:link w:val="1"/>
    <w:uiPriority w:val="9"/>
    <w:qFormat/>
    <w:rPr>
      <w:b/>
      <w:bCs/>
      <w:kern w:val="44"/>
      <w:sz w:val="44"/>
      <w:szCs w:val="44"/>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7BD49-4CE4-4A27-82C1-B8A949589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30</Pages>
  <Words>2188</Words>
  <Characters>12474</Characters>
  <Application>Microsoft Office Word</Application>
  <DocSecurity>0</DocSecurity>
  <Lines>103</Lines>
  <Paragraphs>29</Paragraphs>
  <ScaleCrop>false</ScaleCrop>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韩峰</dc:creator>
  <cp:lastModifiedBy>建伟 齐</cp:lastModifiedBy>
  <cp:revision>6</cp:revision>
  <dcterms:created xsi:type="dcterms:W3CDTF">2026-07-07T09:27:00Z</dcterms:created>
  <dcterms:modified xsi:type="dcterms:W3CDTF">2026-09-01T08:24:00Z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0C85BF6AEA3E487999E4E711CD9A7348</vt:lpwstr>
  </property>
  <property fmtid="{D5CDD505-2E9C-101B-9397-08002B2CF9AE}" pid="4" name="KSOTemplateDocerSaveRecord">
    <vt:lpwstr>eyJoZGlkIjoiYTE5NDY0OWI2M2RkMDJkNjhkYjc1NGU0MjkwYTk1NzYiLCJ1c2VySWQiOiI0ODc5NTQ4OTEifQ==</vt:lpwstr>
  </property>
</Properties>
</file>